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56B02F7A"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 xml:space="preserve">KWK </w:t>
      </w:r>
      <w:r w:rsidR="0046179F">
        <w:rPr>
          <w:b/>
          <w:bCs/>
          <w:color w:val="4472C4" w:themeColor="accent1"/>
          <w:sz w:val="28"/>
          <w:szCs w:val="28"/>
        </w:rPr>
        <w:t>Sośnica</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7182EC6F"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46179F">
        <w:rPr>
          <w:rFonts w:eastAsia="Calibri"/>
          <w:b/>
          <w:color w:val="4472C4" w:themeColor="accent1"/>
          <w:sz w:val="28"/>
          <w:szCs w:val="28"/>
          <w:lang w:eastAsia="en-US"/>
        </w:rPr>
        <w:t>412500896</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D9C849D" w14:textId="18366A5B" w:rsidR="00CD2B43"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5974506" w:history="1">
            <w:r w:rsidR="00CD2B43" w:rsidRPr="003F64E7">
              <w:rPr>
                <w:rStyle w:val="Hipercze"/>
                <w:noProof/>
              </w:rPr>
              <w:t>Część I. Zamawiający:</w:t>
            </w:r>
            <w:r w:rsidR="00CD2B43">
              <w:rPr>
                <w:noProof/>
                <w:webHidden/>
              </w:rPr>
              <w:tab/>
            </w:r>
            <w:r w:rsidR="00CD2B43">
              <w:rPr>
                <w:noProof/>
                <w:webHidden/>
              </w:rPr>
              <w:fldChar w:fldCharType="begin"/>
            </w:r>
            <w:r w:rsidR="00CD2B43">
              <w:rPr>
                <w:noProof/>
                <w:webHidden/>
              </w:rPr>
              <w:instrText xml:space="preserve"> PAGEREF _Toc205974506 \h </w:instrText>
            </w:r>
            <w:r w:rsidR="00CD2B43">
              <w:rPr>
                <w:noProof/>
                <w:webHidden/>
              </w:rPr>
            </w:r>
            <w:r w:rsidR="00CD2B43">
              <w:rPr>
                <w:noProof/>
                <w:webHidden/>
              </w:rPr>
              <w:fldChar w:fldCharType="separate"/>
            </w:r>
            <w:r w:rsidR="00F31AB4">
              <w:rPr>
                <w:noProof/>
                <w:webHidden/>
              </w:rPr>
              <w:t>3</w:t>
            </w:r>
            <w:r w:rsidR="00CD2B43">
              <w:rPr>
                <w:noProof/>
                <w:webHidden/>
              </w:rPr>
              <w:fldChar w:fldCharType="end"/>
            </w:r>
          </w:hyperlink>
        </w:p>
        <w:p w14:paraId="68984B22" w14:textId="47BB0640" w:rsidR="00CD2B43" w:rsidRDefault="00CD2B43">
          <w:pPr>
            <w:pStyle w:val="Spistreci1"/>
            <w:rPr>
              <w:rFonts w:asciiTheme="minorHAnsi" w:eastAsiaTheme="minorEastAsia" w:hAnsiTheme="minorHAnsi" w:cstheme="minorBidi"/>
              <w:noProof/>
              <w:sz w:val="22"/>
              <w:szCs w:val="22"/>
            </w:rPr>
          </w:pPr>
          <w:hyperlink w:anchor="_Toc205974507" w:history="1">
            <w:r w:rsidRPr="003F64E7">
              <w:rPr>
                <w:rStyle w:val="Hipercze"/>
                <w:noProof/>
              </w:rPr>
              <w:t>Część II. Postępowanie</w:t>
            </w:r>
            <w:r>
              <w:rPr>
                <w:noProof/>
                <w:webHidden/>
              </w:rPr>
              <w:tab/>
            </w:r>
            <w:r>
              <w:rPr>
                <w:noProof/>
                <w:webHidden/>
              </w:rPr>
              <w:fldChar w:fldCharType="begin"/>
            </w:r>
            <w:r>
              <w:rPr>
                <w:noProof/>
                <w:webHidden/>
              </w:rPr>
              <w:instrText xml:space="preserve"> PAGEREF _Toc205974507 \h </w:instrText>
            </w:r>
            <w:r>
              <w:rPr>
                <w:noProof/>
                <w:webHidden/>
              </w:rPr>
            </w:r>
            <w:r>
              <w:rPr>
                <w:noProof/>
                <w:webHidden/>
              </w:rPr>
              <w:fldChar w:fldCharType="separate"/>
            </w:r>
            <w:r w:rsidR="00F31AB4">
              <w:rPr>
                <w:noProof/>
                <w:webHidden/>
              </w:rPr>
              <w:t>3</w:t>
            </w:r>
            <w:r>
              <w:rPr>
                <w:noProof/>
                <w:webHidden/>
              </w:rPr>
              <w:fldChar w:fldCharType="end"/>
            </w:r>
          </w:hyperlink>
        </w:p>
        <w:p w14:paraId="358737DC" w14:textId="257F8FD3" w:rsidR="00CD2B43" w:rsidRDefault="00CD2B43">
          <w:pPr>
            <w:pStyle w:val="Spistreci1"/>
            <w:rPr>
              <w:rFonts w:asciiTheme="minorHAnsi" w:eastAsiaTheme="minorEastAsia" w:hAnsiTheme="minorHAnsi" w:cstheme="minorBidi"/>
              <w:noProof/>
              <w:sz w:val="22"/>
              <w:szCs w:val="22"/>
            </w:rPr>
          </w:pPr>
          <w:hyperlink w:anchor="_Toc205974508" w:history="1">
            <w:r w:rsidRPr="003F64E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_Toc205974508 \h </w:instrText>
            </w:r>
            <w:r>
              <w:rPr>
                <w:noProof/>
                <w:webHidden/>
              </w:rPr>
            </w:r>
            <w:r>
              <w:rPr>
                <w:noProof/>
                <w:webHidden/>
              </w:rPr>
              <w:fldChar w:fldCharType="separate"/>
            </w:r>
            <w:r w:rsidR="00F31AB4">
              <w:rPr>
                <w:noProof/>
                <w:webHidden/>
              </w:rPr>
              <w:t>4</w:t>
            </w:r>
            <w:r>
              <w:rPr>
                <w:noProof/>
                <w:webHidden/>
              </w:rPr>
              <w:fldChar w:fldCharType="end"/>
            </w:r>
          </w:hyperlink>
        </w:p>
        <w:p w14:paraId="1F76CAF7" w14:textId="5EC6C100" w:rsidR="00CD2B43" w:rsidRDefault="00CD2B43">
          <w:pPr>
            <w:pStyle w:val="Spistreci1"/>
            <w:rPr>
              <w:rFonts w:asciiTheme="minorHAnsi" w:eastAsiaTheme="minorEastAsia" w:hAnsiTheme="minorHAnsi" w:cstheme="minorBidi"/>
              <w:noProof/>
              <w:sz w:val="22"/>
              <w:szCs w:val="22"/>
            </w:rPr>
          </w:pPr>
          <w:hyperlink w:anchor="_Toc205974509" w:history="1">
            <w:r w:rsidRPr="003F64E7">
              <w:rPr>
                <w:rStyle w:val="Hipercze"/>
                <w:noProof/>
              </w:rPr>
              <w:t>Część IV. Oferty częściowe</w:t>
            </w:r>
            <w:r>
              <w:rPr>
                <w:noProof/>
                <w:webHidden/>
              </w:rPr>
              <w:tab/>
            </w:r>
            <w:r>
              <w:rPr>
                <w:noProof/>
                <w:webHidden/>
              </w:rPr>
              <w:fldChar w:fldCharType="begin"/>
            </w:r>
            <w:r>
              <w:rPr>
                <w:noProof/>
                <w:webHidden/>
              </w:rPr>
              <w:instrText xml:space="preserve"> PAGEREF _Toc205974509 \h </w:instrText>
            </w:r>
            <w:r>
              <w:rPr>
                <w:noProof/>
                <w:webHidden/>
              </w:rPr>
            </w:r>
            <w:r>
              <w:rPr>
                <w:noProof/>
                <w:webHidden/>
              </w:rPr>
              <w:fldChar w:fldCharType="separate"/>
            </w:r>
            <w:r w:rsidR="00F31AB4">
              <w:rPr>
                <w:noProof/>
                <w:webHidden/>
              </w:rPr>
              <w:t>4</w:t>
            </w:r>
            <w:r>
              <w:rPr>
                <w:noProof/>
                <w:webHidden/>
              </w:rPr>
              <w:fldChar w:fldCharType="end"/>
            </w:r>
          </w:hyperlink>
        </w:p>
        <w:p w14:paraId="2B55299E" w14:textId="0063FC12" w:rsidR="00CD2B43" w:rsidRDefault="00CD2B43">
          <w:pPr>
            <w:pStyle w:val="Spistreci1"/>
            <w:rPr>
              <w:rFonts w:asciiTheme="minorHAnsi" w:eastAsiaTheme="minorEastAsia" w:hAnsiTheme="minorHAnsi" w:cstheme="minorBidi"/>
              <w:noProof/>
              <w:sz w:val="22"/>
              <w:szCs w:val="22"/>
            </w:rPr>
          </w:pPr>
          <w:hyperlink w:anchor="_Toc205974510" w:history="1">
            <w:r w:rsidRPr="003F64E7">
              <w:rPr>
                <w:rStyle w:val="Hipercze"/>
                <w:noProof/>
              </w:rPr>
              <w:t>Część V. Kwalifikacja podmiotowa Wykonawców</w:t>
            </w:r>
            <w:r>
              <w:rPr>
                <w:noProof/>
                <w:webHidden/>
              </w:rPr>
              <w:tab/>
            </w:r>
            <w:r>
              <w:rPr>
                <w:noProof/>
                <w:webHidden/>
              </w:rPr>
              <w:fldChar w:fldCharType="begin"/>
            </w:r>
            <w:r>
              <w:rPr>
                <w:noProof/>
                <w:webHidden/>
              </w:rPr>
              <w:instrText xml:space="preserve"> PAGEREF _Toc205974510 \h </w:instrText>
            </w:r>
            <w:r>
              <w:rPr>
                <w:noProof/>
                <w:webHidden/>
              </w:rPr>
            </w:r>
            <w:r>
              <w:rPr>
                <w:noProof/>
                <w:webHidden/>
              </w:rPr>
              <w:fldChar w:fldCharType="separate"/>
            </w:r>
            <w:r w:rsidR="00F31AB4">
              <w:rPr>
                <w:noProof/>
                <w:webHidden/>
              </w:rPr>
              <w:t>4</w:t>
            </w:r>
            <w:r>
              <w:rPr>
                <w:noProof/>
                <w:webHidden/>
              </w:rPr>
              <w:fldChar w:fldCharType="end"/>
            </w:r>
          </w:hyperlink>
        </w:p>
        <w:p w14:paraId="7D2A5B9A" w14:textId="5A7EEA56" w:rsidR="00CD2B43" w:rsidRDefault="00CD2B43">
          <w:pPr>
            <w:pStyle w:val="Spistreci1"/>
            <w:rPr>
              <w:rFonts w:asciiTheme="minorHAnsi" w:eastAsiaTheme="minorEastAsia" w:hAnsiTheme="minorHAnsi" w:cstheme="minorBidi"/>
              <w:noProof/>
              <w:sz w:val="22"/>
              <w:szCs w:val="22"/>
            </w:rPr>
          </w:pPr>
          <w:hyperlink w:anchor="_Toc205974511" w:history="1">
            <w:r w:rsidRPr="003F64E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_Toc205974511 \h </w:instrText>
            </w:r>
            <w:r>
              <w:rPr>
                <w:noProof/>
                <w:webHidden/>
              </w:rPr>
            </w:r>
            <w:r>
              <w:rPr>
                <w:noProof/>
                <w:webHidden/>
              </w:rPr>
              <w:fldChar w:fldCharType="separate"/>
            </w:r>
            <w:r w:rsidR="00F31AB4">
              <w:rPr>
                <w:noProof/>
                <w:webHidden/>
              </w:rPr>
              <w:t>7</w:t>
            </w:r>
            <w:r>
              <w:rPr>
                <w:noProof/>
                <w:webHidden/>
              </w:rPr>
              <w:fldChar w:fldCharType="end"/>
            </w:r>
          </w:hyperlink>
        </w:p>
        <w:p w14:paraId="5D090E8A" w14:textId="1BC1E3A6" w:rsidR="00CD2B43" w:rsidRDefault="00CD2B43">
          <w:pPr>
            <w:pStyle w:val="Spistreci1"/>
            <w:rPr>
              <w:rFonts w:asciiTheme="minorHAnsi" w:eastAsiaTheme="minorEastAsia" w:hAnsiTheme="minorHAnsi" w:cstheme="minorBidi"/>
              <w:noProof/>
              <w:sz w:val="22"/>
              <w:szCs w:val="22"/>
            </w:rPr>
          </w:pPr>
          <w:hyperlink w:anchor="_Toc205974512" w:history="1">
            <w:r w:rsidRPr="003F64E7">
              <w:rPr>
                <w:rStyle w:val="Hipercze"/>
                <w:noProof/>
              </w:rPr>
              <w:t>Część VII. Udostępnienie zasobów</w:t>
            </w:r>
            <w:r>
              <w:rPr>
                <w:noProof/>
                <w:webHidden/>
              </w:rPr>
              <w:tab/>
            </w:r>
            <w:r>
              <w:rPr>
                <w:noProof/>
                <w:webHidden/>
              </w:rPr>
              <w:fldChar w:fldCharType="begin"/>
            </w:r>
            <w:r>
              <w:rPr>
                <w:noProof/>
                <w:webHidden/>
              </w:rPr>
              <w:instrText xml:space="preserve"> PAGEREF _Toc205974512 \h </w:instrText>
            </w:r>
            <w:r>
              <w:rPr>
                <w:noProof/>
                <w:webHidden/>
              </w:rPr>
            </w:r>
            <w:r>
              <w:rPr>
                <w:noProof/>
                <w:webHidden/>
              </w:rPr>
              <w:fldChar w:fldCharType="separate"/>
            </w:r>
            <w:r w:rsidR="00F31AB4">
              <w:rPr>
                <w:noProof/>
                <w:webHidden/>
              </w:rPr>
              <w:t>8</w:t>
            </w:r>
            <w:r>
              <w:rPr>
                <w:noProof/>
                <w:webHidden/>
              </w:rPr>
              <w:fldChar w:fldCharType="end"/>
            </w:r>
          </w:hyperlink>
        </w:p>
        <w:p w14:paraId="3F7FBE0B" w14:textId="593BC367" w:rsidR="00CD2B43" w:rsidRDefault="00CD2B43">
          <w:pPr>
            <w:pStyle w:val="Spistreci1"/>
            <w:rPr>
              <w:rFonts w:asciiTheme="minorHAnsi" w:eastAsiaTheme="minorEastAsia" w:hAnsiTheme="minorHAnsi" w:cstheme="minorBidi"/>
              <w:noProof/>
              <w:sz w:val="22"/>
              <w:szCs w:val="22"/>
            </w:rPr>
          </w:pPr>
          <w:hyperlink w:anchor="_Toc205974513" w:history="1">
            <w:r w:rsidRPr="003F64E7">
              <w:rPr>
                <w:rStyle w:val="Hipercze"/>
                <w:noProof/>
              </w:rPr>
              <w:t>Część VIII. Podmiotowe środki dowodowe.</w:t>
            </w:r>
            <w:r>
              <w:rPr>
                <w:noProof/>
                <w:webHidden/>
              </w:rPr>
              <w:tab/>
            </w:r>
            <w:r>
              <w:rPr>
                <w:noProof/>
                <w:webHidden/>
              </w:rPr>
              <w:fldChar w:fldCharType="begin"/>
            </w:r>
            <w:r>
              <w:rPr>
                <w:noProof/>
                <w:webHidden/>
              </w:rPr>
              <w:instrText xml:space="preserve"> PAGEREF _Toc205974513 \h </w:instrText>
            </w:r>
            <w:r>
              <w:rPr>
                <w:noProof/>
                <w:webHidden/>
              </w:rPr>
            </w:r>
            <w:r>
              <w:rPr>
                <w:noProof/>
                <w:webHidden/>
              </w:rPr>
              <w:fldChar w:fldCharType="separate"/>
            </w:r>
            <w:r w:rsidR="00F31AB4">
              <w:rPr>
                <w:noProof/>
                <w:webHidden/>
              </w:rPr>
              <w:t>9</w:t>
            </w:r>
            <w:r>
              <w:rPr>
                <w:noProof/>
                <w:webHidden/>
              </w:rPr>
              <w:fldChar w:fldCharType="end"/>
            </w:r>
          </w:hyperlink>
        </w:p>
        <w:p w14:paraId="22AA73C8" w14:textId="56692F5E" w:rsidR="00CD2B43" w:rsidRDefault="00CD2B43">
          <w:pPr>
            <w:pStyle w:val="Spistreci1"/>
            <w:rPr>
              <w:rFonts w:asciiTheme="minorHAnsi" w:eastAsiaTheme="minorEastAsia" w:hAnsiTheme="minorHAnsi" w:cstheme="minorBidi"/>
              <w:noProof/>
              <w:sz w:val="22"/>
              <w:szCs w:val="22"/>
            </w:rPr>
          </w:pPr>
          <w:hyperlink w:anchor="_Toc205974514" w:history="1">
            <w:r w:rsidRPr="003F64E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_Toc205974514 \h </w:instrText>
            </w:r>
            <w:r>
              <w:rPr>
                <w:noProof/>
                <w:webHidden/>
              </w:rPr>
            </w:r>
            <w:r>
              <w:rPr>
                <w:noProof/>
                <w:webHidden/>
              </w:rPr>
              <w:fldChar w:fldCharType="separate"/>
            </w:r>
            <w:r w:rsidR="00F31AB4">
              <w:rPr>
                <w:noProof/>
                <w:webHidden/>
              </w:rPr>
              <w:t>13</w:t>
            </w:r>
            <w:r>
              <w:rPr>
                <w:noProof/>
                <w:webHidden/>
              </w:rPr>
              <w:fldChar w:fldCharType="end"/>
            </w:r>
          </w:hyperlink>
        </w:p>
        <w:p w14:paraId="00287396" w14:textId="05D828E9" w:rsidR="00CD2B43" w:rsidRDefault="00CD2B43">
          <w:pPr>
            <w:pStyle w:val="Spistreci1"/>
            <w:rPr>
              <w:rFonts w:asciiTheme="minorHAnsi" w:eastAsiaTheme="minorEastAsia" w:hAnsiTheme="minorHAnsi" w:cstheme="minorBidi"/>
              <w:noProof/>
              <w:sz w:val="22"/>
              <w:szCs w:val="22"/>
            </w:rPr>
          </w:pPr>
          <w:hyperlink w:anchor="_Toc205974515" w:history="1">
            <w:r w:rsidRPr="003F64E7">
              <w:rPr>
                <w:rStyle w:val="Hipercze"/>
                <w:noProof/>
              </w:rPr>
              <w:t>Część X. Podwykonawstwo</w:t>
            </w:r>
            <w:r>
              <w:rPr>
                <w:noProof/>
                <w:webHidden/>
              </w:rPr>
              <w:tab/>
            </w:r>
            <w:r>
              <w:rPr>
                <w:noProof/>
                <w:webHidden/>
              </w:rPr>
              <w:fldChar w:fldCharType="begin"/>
            </w:r>
            <w:r>
              <w:rPr>
                <w:noProof/>
                <w:webHidden/>
              </w:rPr>
              <w:instrText xml:space="preserve"> PAGEREF _Toc205974515 \h </w:instrText>
            </w:r>
            <w:r>
              <w:rPr>
                <w:noProof/>
                <w:webHidden/>
              </w:rPr>
            </w:r>
            <w:r>
              <w:rPr>
                <w:noProof/>
                <w:webHidden/>
              </w:rPr>
              <w:fldChar w:fldCharType="separate"/>
            </w:r>
            <w:r w:rsidR="00F31AB4">
              <w:rPr>
                <w:noProof/>
                <w:webHidden/>
              </w:rPr>
              <w:t>14</w:t>
            </w:r>
            <w:r>
              <w:rPr>
                <w:noProof/>
                <w:webHidden/>
              </w:rPr>
              <w:fldChar w:fldCharType="end"/>
            </w:r>
          </w:hyperlink>
        </w:p>
        <w:p w14:paraId="2AE6F040" w14:textId="13B7A66A" w:rsidR="00CD2B43" w:rsidRDefault="00CD2B43">
          <w:pPr>
            <w:pStyle w:val="Spistreci1"/>
            <w:rPr>
              <w:rFonts w:asciiTheme="minorHAnsi" w:eastAsiaTheme="minorEastAsia" w:hAnsiTheme="minorHAnsi" w:cstheme="minorBidi"/>
              <w:noProof/>
              <w:sz w:val="22"/>
              <w:szCs w:val="22"/>
            </w:rPr>
          </w:pPr>
          <w:hyperlink w:anchor="_Toc205974516" w:history="1">
            <w:r w:rsidRPr="003F64E7">
              <w:rPr>
                <w:rStyle w:val="Hipercze"/>
                <w:noProof/>
              </w:rPr>
              <w:t>Część XI. Wadium</w:t>
            </w:r>
            <w:r>
              <w:rPr>
                <w:noProof/>
                <w:webHidden/>
              </w:rPr>
              <w:tab/>
            </w:r>
            <w:r>
              <w:rPr>
                <w:noProof/>
                <w:webHidden/>
              </w:rPr>
              <w:fldChar w:fldCharType="begin"/>
            </w:r>
            <w:r>
              <w:rPr>
                <w:noProof/>
                <w:webHidden/>
              </w:rPr>
              <w:instrText xml:space="preserve"> PAGEREF _Toc205974516 \h </w:instrText>
            </w:r>
            <w:r>
              <w:rPr>
                <w:noProof/>
                <w:webHidden/>
              </w:rPr>
            </w:r>
            <w:r>
              <w:rPr>
                <w:noProof/>
                <w:webHidden/>
              </w:rPr>
              <w:fldChar w:fldCharType="separate"/>
            </w:r>
            <w:r w:rsidR="00F31AB4">
              <w:rPr>
                <w:noProof/>
                <w:webHidden/>
              </w:rPr>
              <w:t>14</w:t>
            </w:r>
            <w:r>
              <w:rPr>
                <w:noProof/>
                <w:webHidden/>
              </w:rPr>
              <w:fldChar w:fldCharType="end"/>
            </w:r>
          </w:hyperlink>
        </w:p>
        <w:p w14:paraId="789B87E9" w14:textId="211B2210" w:rsidR="00CD2B43" w:rsidRDefault="00CD2B43">
          <w:pPr>
            <w:pStyle w:val="Spistreci1"/>
            <w:rPr>
              <w:rFonts w:asciiTheme="minorHAnsi" w:eastAsiaTheme="minorEastAsia" w:hAnsiTheme="minorHAnsi" w:cstheme="minorBidi"/>
              <w:noProof/>
              <w:sz w:val="22"/>
              <w:szCs w:val="22"/>
            </w:rPr>
          </w:pPr>
          <w:hyperlink w:anchor="_Toc205974517" w:history="1">
            <w:r w:rsidRPr="003F64E7">
              <w:rPr>
                <w:rStyle w:val="Hipercze"/>
                <w:noProof/>
              </w:rPr>
              <w:t>Część XII. Opis sposobu przygotowania oferty</w:t>
            </w:r>
            <w:r>
              <w:rPr>
                <w:noProof/>
                <w:webHidden/>
              </w:rPr>
              <w:tab/>
            </w:r>
            <w:r>
              <w:rPr>
                <w:noProof/>
                <w:webHidden/>
              </w:rPr>
              <w:fldChar w:fldCharType="begin"/>
            </w:r>
            <w:r>
              <w:rPr>
                <w:noProof/>
                <w:webHidden/>
              </w:rPr>
              <w:instrText xml:space="preserve"> PAGEREF _Toc205974517 \h </w:instrText>
            </w:r>
            <w:r>
              <w:rPr>
                <w:noProof/>
                <w:webHidden/>
              </w:rPr>
            </w:r>
            <w:r>
              <w:rPr>
                <w:noProof/>
                <w:webHidden/>
              </w:rPr>
              <w:fldChar w:fldCharType="separate"/>
            </w:r>
            <w:r w:rsidR="00F31AB4">
              <w:rPr>
                <w:noProof/>
                <w:webHidden/>
              </w:rPr>
              <w:t>14</w:t>
            </w:r>
            <w:r>
              <w:rPr>
                <w:noProof/>
                <w:webHidden/>
              </w:rPr>
              <w:fldChar w:fldCharType="end"/>
            </w:r>
          </w:hyperlink>
        </w:p>
        <w:p w14:paraId="01B9FADF" w14:textId="1183B1A1" w:rsidR="00CD2B43" w:rsidRDefault="00CD2B43">
          <w:pPr>
            <w:pStyle w:val="Spistreci1"/>
            <w:rPr>
              <w:rFonts w:asciiTheme="minorHAnsi" w:eastAsiaTheme="minorEastAsia" w:hAnsiTheme="minorHAnsi" w:cstheme="minorBidi"/>
              <w:noProof/>
              <w:sz w:val="22"/>
              <w:szCs w:val="22"/>
            </w:rPr>
          </w:pPr>
          <w:hyperlink w:anchor="_Toc205974518" w:history="1">
            <w:r w:rsidRPr="003F64E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_Toc205974518 \h </w:instrText>
            </w:r>
            <w:r>
              <w:rPr>
                <w:noProof/>
                <w:webHidden/>
              </w:rPr>
            </w:r>
            <w:r>
              <w:rPr>
                <w:noProof/>
                <w:webHidden/>
              </w:rPr>
              <w:fldChar w:fldCharType="separate"/>
            </w:r>
            <w:r w:rsidR="00F31AB4">
              <w:rPr>
                <w:noProof/>
                <w:webHidden/>
              </w:rPr>
              <w:t>17</w:t>
            </w:r>
            <w:r>
              <w:rPr>
                <w:noProof/>
                <w:webHidden/>
              </w:rPr>
              <w:fldChar w:fldCharType="end"/>
            </w:r>
          </w:hyperlink>
        </w:p>
        <w:p w14:paraId="56D9EEFD" w14:textId="764848CC" w:rsidR="00CD2B43" w:rsidRDefault="00CD2B43">
          <w:pPr>
            <w:pStyle w:val="Spistreci1"/>
            <w:rPr>
              <w:rFonts w:asciiTheme="minorHAnsi" w:eastAsiaTheme="minorEastAsia" w:hAnsiTheme="minorHAnsi" w:cstheme="minorBidi"/>
              <w:noProof/>
              <w:sz w:val="22"/>
              <w:szCs w:val="22"/>
            </w:rPr>
          </w:pPr>
          <w:hyperlink w:anchor="_Toc205974519" w:history="1">
            <w:r w:rsidRPr="003F64E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_Toc205974519 \h </w:instrText>
            </w:r>
            <w:r>
              <w:rPr>
                <w:noProof/>
                <w:webHidden/>
              </w:rPr>
            </w:r>
            <w:r>
              <w:rPr>
                <w:noProof/>
                <w:webHidden/>
              </w:rPr>
              <w:fldChar w:fldCharType="separate"/>
            </w:r>
            <w:r w:rsidR="00F31AB4">
              <w:rPr>
                <w:noProof/>
                <w:webHidden/>
              </w:rPr>
              <w:t>17</w:t>
            </w:r>
            <w:r>
              <w:rPr>
                <w:noProof/>
                <w:webHidden/>
              </w:rPr>
              <w:fldChar w:fldCharType="end"/>
            </w:r>
          </w:hyperlink>
        </w:p>
        <w:p w14:paraId="01B23FAD" w14:textId="6616DA15" w:rsidR="00CD2B43" w:rsidRDefault="00CD2B43">
          <w:pPr>
            <w:pStyle w:val="Spistreci1"/>
            <w:rPr>
              <w:rFonts w:asciiTheme="minorHAnsi" w:eastAsiaTheme="minorEastAsia" w:hAnsiTheme="minorHAnsi" w:cstheme="minorBidi"/>
              <w:noProof/>
              <w:sz w:val="22"/>
              <w:szCs w:val="22"/>
            </w:rPr>
          </w:pPr>
          <w:hyperlink w:anchor="_Toc205974520" w:history="1">
            <w:r w:rsidRPr="003F64E7">
              <w:rPr>
                <w:rStyle w:val="Hipercze"/>
                <w:noProof/>
              </w:rPr>
              <w:t>Część XV. Opis sposobu obliczenia ceny</w:t>
            </w:r>
            <w:r>
              <w:rPr>
                <w:noProof/>
                <w:webHidden/>
              </w:rPr>
              <w:tab/>
            </w:r>
            <w:r>
              <w:rPr>
                <w:noProof/>
                <w:webHidden/>
              </w:rPr>
              <w:fldChar w:fldCharType="begin"/>
            </w:r>
            <w:r>
              <w:rPr>
                <w:noProof/>
                <w:webHidden/>
              </w:rPr>
              <w:instrText xml:space="preserve"> PAGEREF _Toc205974520 \h </w:instrText>
            </w:r>
            <w:r>
              <w:rPr>
                <w:noProof/>
                <w:webHidden/>
              </w:rPr>
            </w:r>
            <w:r>
              <w:rPr>
                <w:noProof/>
                <w:webHidden/>
              </w:rPr>
              <w:fldChar w:fldCharType="separate"/>
            </w:r>
            <w:r w:rsidR="00F31AB4">
              <w:rPr>
                <w:noProof/>
                <w:webHidden/>
              </w:rPr>
              <w:t>17</w:t>
            </w:r>
            <w:r>
              <w:rPr>
                <w:noProof/>
                <w:webHidden/>
              </w:rPr>
              <w:fldChar w:fldCharType="end"/>
            </w:r>
          </w:hyperlink>
        </w:p>
        <w:p w14:paraId="2E417936" w14:textId="0007139A" w:rsidR="00CD2B43" w:rsidRDefault="00CD2B43">
          <w:pPr>
            <w:pStyle w:val="Spistreci1"/>
            <w:rPr>
              <w:rFonts w:asciiTheme="minorHAnsi" w:eastAsiaTheme="minorEastAsia" w:hAnsiTheme="minorHAnsi" w:cstheme="minorBidi"/>
              <w:noProof/>
              <w:sz w:val="22"/>
              <w:szCs w:val="22"/>
            </w:rPr>
          </w:pPr>
          <w:hyperlink w:anchor="_Toc205974521" w:history="1">
            <w:r w:rsidRPr="003F64E7">
              <w:rPr>
                <w:rStyle w:val="Hipercze"/>
                <w:noProof/>
              </w:rPr>
              <w:t>Część XVI. Kryteria oceny ofert</w:t>
            </w:r>
            <w:r>
              <w:rPr>
                <w:noProof/>
                <w:webHidden/>
              </w:rPr>
              <w:tab/>
            </w:r>
            <w:r>
              <w:rPr>
                <w:noProof/>
                <w:webHidden/>
              </w:rPr>
              <w:fldChar w:fldCharType="begin"/>
            </w:r>
            <w:r>
              <w:rPr>
                <w:noProof/>
                <w:webHidden/>
              </w:rPr>
              <w:instrText xml:space="preserve"> PAGEREF _Toc205974521 \h </w:instrText>
            </w:r>
            <w:r>
              <w:rPr>
                <w:noProof/>
                <w:webHidden/>
              </w:rPr>
            </w:r>
            <w:r>
              <w:rPr>
                <w:noProof/>
                <w:webHidden/>
              </w:rPr>
              <w:fldChar w:fldCharType="separate"/>
            </w:r>
            <w:r w:rsidR="00F31AB4">
              <w:rPr>
                <w:noProof/>
                <w:webHidden/>
              </w:rPr>
              <w:t>18</w:t>
            </w:r>
            <w:r>
              <w:rPr>
                <w:noProof/>
                <w:webHidden/>
              </w:rPr>
              <w:fldChar w:fldCharType="end"/>
            </w:r>
          </w:hyperlink>
        </w:p>
        <w:p w14:paraId="20D3CA4A" w14:textId="317A9F93" w:rsidR="00CD2B43" w:rsidRDefault="00CD2B43">
          <w:pPr>
            <w:pStyle w:val="Spistreci1"/>
            <w:rPr>
              <w:rFonts w:asciiTheme="minorHAnsi" w:eastAsiaTheme="minorEastAsia" w:hAnsiTheme="minorHAnsi" w:cstheme="minorBidi"/>
              <w:noProof/>
              <w:sz w:val="22"/>
              <w:szCs w:val="22"/>
            </w:rPr>
          </w:pPr>
          <w:hyperlink w:anchor="_Toc205974522" w:history="1">
            <w:r w:rsidRPr="003F64E7">
              <w:rPr>
                <w:rStyle w:val="Hipercze"/>
                <w:noProof/>
              </w:rPr>
              <w:t>Część XVII. Aukcja elektroniczna</w:t>
            </w:r>
            <w:r>
              <w:rPr>
                <w:noProof/>
                <w:webHidden/>
              </w:rPr>
              <w:tab/>
            </w:r>
            <w:r>
              <w:rPr>
                <w:noProof/>
                <w:webHidden/>
              </w:rPr>
              <w:fldChar w:fldCharType="begin"/>
            </w:r>
            <w:r>
              <w:rPr>
                <w:noProof/>
                <w:webHidden/>
              </w:rPr>
              <w:instrText xml:space="preserve"> PAGEREF _Toc205974522 \h </w:instrText>
            </w:r>
            <w:r>
              <w:rPr>
                <w:noProof/>
                <w:webHidden/>
              </w:rPr>
            </w:r>
            <w:r>
              <w:rPr>
                <w:noProof/>
                <w:webHidden/>
              </w:rPr>
              <w:fldChar w:fldCharType="separate"/>
            </w:r>
            <w:r w:rsidR="00F31AB4">
              <w:rPr>
                <w:noProof/>
                <w:webHidden/>
              </w:rPr>
              <w:t>18</w:t>
            </w:r>
            <w:r>
              <w:rPr>
                <w:noProof/>
                <w:webHidden/>
              </w:rPr>
              <w:fldChar w:fldCharType="end"/>
            </w:r>
          </w:hyperlink>
        </w:p>
        <w:p w14:paraId="78042FCD" w14:textId="232E2E97" w:rsidR="00CD2B43" w:rsidRDefault="00CD2B43">
          <w:pPr>
            <w:pStyle w:val="Spistreci1"/>
            <w:rPr>
              <w:rFonts w:asciiTheme="minorHAnsi" w:eastAsiaTheme="minorEastAsia" w:hAnsiTheme="minorHAnsi" w:cstheme="minorBidi"/>
              <w:noProof/>
              <w:sz w:val="22"/>
              <w:szCs w:val="22"/>
            </w:rPr>
          </w:pPr>
          <w:hyperlink w:anchor="_Toc205974523" w:history="1">
            <w:r w:rsidRPr="003F64E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_Toc205974523 \h </w:instrText>
            </w:r>
            <w:r>
              <w:rPr>
                <w:noProof/>
                <w:webHidden/>
              </w:rPr>
            </w:r>
            <w:r>
              <w:rPr>
                <w:noProof/>
                <w:webHidden/>
              </w:rPr>
              <w:fldChar w:fldCharType="separate"/>
            </w:r>
            <w:r w:rsidR="00F31AB4">
              <w:rPr>
                <w:noProof/>
                <w:webHidden/>
              </w:rPr>
              <w:t>23</w:t>
            </w:r>
            <w:r>
              <w:rPr>
                <w:noProof/>
                <w:webHidden/>
              </w:rPr>
              <w:fldChar w:fldCharType="end"/>
            </w:r>
          </w:hyperlink>
        </w:p>
        <w:p w14:paraId="53AAD125" w14:textId="3FF54129" w:rsidR="00CD2B43" w:rsidRDefault="00CD2B43">
          <w:pPr>
            <w:pStyle w:val="Spistreci1"/>
            <w:rPr>
              <w:rFonts w:asciiTheme="minorHAnsi" w:eastAsiaTheme="minorEastAsia" w:hAnsiTheme="minorHAnsi" w:cstheme="minorBidi"/>
              <w:noProof/>
              <w:sz w:val="22"/>
              <w:szCs w:val="22"/>
            </w:rPr>
          </w:pPr>
          <w:hyperlink w:anchor="_Toc205974524" w:history="1">
            <w:r w:rsidRPr="003F64E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_Toc205974524 \h </w:instrText>
            </w:r>
            <w:r>
              <w:rPr>
                <w:noProof/>
                <w:webHidden/>
              </w:rPr>
            </w:r>
            <w:r>
              <w:rPr>
                <w:noProof/>
                <w:webHidden/>
              </w:rPr>
              <w:fldChar w:fldCharType="separate"/>
            </w:r>
            <w:r w:rsidR="00F31AB4">
              <w:rPr>
                <w:noProof/>
                <w:webHidden/>
              </w:rPr>
              <w:t>23</w:t>
            </w:r>
            <w:r>
              <w:rPr>
                <w:noProof/>
                <w:webHidden/>
              </w:rPr>
              <w:fldChar w:fldCharType="end"/>
            </w:r>
          </w:hyperlink>
        </w:p>
        <w:p w14:paraId="5B265414" w14:textId="0B7E1F65" w:rsidR="00CD2B43" w:rsidRDefault="00CD2B43">
          <w:pPr>
            <w:pStyle w:val="Spistreci1"/>
            <w:rPr>
              <w:rFonts w:asciiTheme="minorHAnsi" w:eastAsiaTheme="minorEastAsia" w:hAnsiTheme="minorHAnsi" w:cstheme="minorBidi"/>
              <w:noProof/>
              <w:sz w:val="22"/>
              <w:szCs w:val="22"/>
            </w:rPr>
          </w:pPr>
          <w:hyperlink w:anchor="_Toc205974525" w:history="1">
            <w:r w:rsidRPr="003F64E7">
              <w:rPr>
                <w:rStyle w:val="Hipercze"/>
                <w:noProof/>
              </w:rPr>
              <w:t>Część XX. Istotne postanowienia umowy</w:t>
            </w:r>
            <w:r>
              <w:rPr>
                <w:noProof/>
                <w:webHidden/>
              </w:rPr>
              <w:tab/>
            </w:r>
            <w:r>
              <w:rPr>
                <w:noProof/>
                <w:webHidden/>
              </w:rPr>
              <w:fldChar w:fldCharType="begin"/>
            </w:r>
            <w:r>
              <w:rPr>
                <w:noProof/>
                <w:webHidden/>
              </w:rPr>
              <w:instrText xml:space="preserve"> PAGEREF _Toc205974525 \h </w:instrText>
            </w:r>
            <w:r>
              <w:rPr>
                <w:noProof/>
                <w:webHidden/>
              </w:rPr>
            </w:r>
            <w:r>
              <w:rPr>
                <w:noProof/>
                <w:webHidden/>
              </w:rPr>
              <w:fldChar w:fldCharType="separate"/>
            </w:r>
            <w:r w:rsidR="00F31AB4">
              <w:rPr>
                <w:noProof/>
                <w:webHidden/>
              </w:rPr>
              <w:t>23</w:t>
            </w:r>
            <w:r>
              <w:rPr>
                <w:noProof/>
                <w:webHidden/>
              </w:rPr>
              <w:fldChar w:fldCharType="end"/>
            </w:r>
          </w:hyperlink>
        </w:p>
        <w:p w14:paraId="687462B9" w14:textId="58310B90" w:rsidR="00CD2B43" w:rsidRDefault="00CD2B43">
          <w:pPr>
            <w:pStyle w:val="Spistreci1"/>
            <w:rPr>
              <w:rFonts w:asciiTheme="minorHAnsi" w:eastAsiaTheme="minorEastAsia" w:hAnsiTheme="minorHAnsi" w:cstheme="minorBidi"/>
              <w:noProof/>
              <w:sz w:val="22"/>
              <w:szCs w:val="22"/>
            </w:rPr>
          </w:pPr>
          <w:hyperlink w:anchor="_Toc205974526" w:history="1">
            <w:r w:rsidRPr="003F64E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_Toc205974526 \h </w:instrText>
            </w:r>
            <w:r>
              <w:rPr>
                <w:noProof/>
                <w:webHidden/>
              </w:rPr>
            </w:r>
            <w:r>
              <w:rPr>
                <w:noProof/>
                <w:webHidden/>
              </w:rPr>
              <w:fldChar w:fldCharType="separate"/>
            </w:r>
            <w:r w:rsidR="00F31AB4">
              <w:rPr>
                <w:noProof/>
                <w:webHidden/>
              </w:rPr>
              <w:t>23</w:t>
            </w:r>
            <w:r>
              <w:rPr>
                <w:noProof/>
                <w:webHidden/>
              </w:rPr>
              <w:fldChar w:fldCharType="end"/>
            </w:r>
          </w:hyperlink>
        </w:p>
        <w:p w14:paraId="53FC3CC8" w14:textId="3B80AEB1" w:rsidR="00CD2B43" w:rsidRDefault="00CD2B43">
          <w:pPr>
            <w:pStyle w:val="Spistreci1"/>
            <w:rPr>
              <w:rFonts w:asciiTheme="minorHAnsi" w:eastAsiaTheme="minorEastAsia" w:hAnsiTheme="minorHAnsi" w:cstheme="minorBidi"/>
              <w:noProof/>
              <w:sz w:val="22"/>
              <w:szCs w:val="22"/>
            </w:rPr>
          </w:pPr>
          <w:hyperlink w:anchor="_Toc205974527" w:history="1">
            <w:r w:rsidRPr="003F64E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_Toc205974527 \h </w:instrText>
            </w:r>
            <w:r>
              <w:rPr>
                <w:noProof/>
                <w:webHidden/>
              </w:rPr>
            </w:r>
            <w:r>
              <w:rPr>
                <w:noProof/>
                <w:webHidden/>
              </w:rPr>
              <w:fldChar w:fldCharType="separate"/>
            </w:r>
            <w:r w:rsidR="00F31AB4">
              <w:rPr>
                <w:noProof/>
                <w:webHidden/>
              </w:rPr>
              <w:t>23</w:t>
            </w:r>
            <w:r>
              <w:rPr>
                <w:noProof/>
                <w:webHidden/>
              </w:rPr>
              <w:fldChar w:fldCharType="end"/>
            </w:r>
          </w:hyperlink>
        </w:p>
        <w:p w14:paraId="0EB49BE0" w14:textId="5BB42E06" w:rsidR="00CD2B43" w:rsidRDefault="00CD2B43">
          <w:pPr>
            <w:pStyle w:val="Spistreci1"/>
            <w:rPr>
              <w:rFonts w:asciiTheme="minorHAnsi" w:eastAsiaTheme="minorEastAsia" w:hAnsiTheme="minorHAnsi" w:cstheme="minorBidi"/>
              <w:noProof/>
              <w:sz w:val="22"/>
              <w:szCs w:val="22"/>
            </w:rPr>
          </w:pPr>
          <w:hyperlink w:anchor="_Toc205974528" w:history="1">
            <w:r w:rsidRPr="003F64E7">
              <w:rPr>
                <w:rStyle w:val="Hipercze"/>
                <w:noProof/>
              </w:rPr>
              <w:t>Wykaz załączników</w:t>
            </w:r>
            <w:r>
              <w:rPr>
                <w:noProof/>
                <w:webHidden/>
              </w:rPr>
              <w:tab/>
            </w:r>
            <w:r>
              <w:rPr>
                <w:noProof/>
                <w:webHidden/>
              </w:rPr>
              <w:fldChar w:fldCharType="begin"/>
            </w:r>
            <w:r>
              <w:rPr>
                <w:noProof/>
                <w:webHidden/>
              </w:rPr>
              <w:instrText xml:space="preserve"> PAGEREF _Toc205974528 \h </w:instrText>
            </w:r>
            <w:r>
              <w:rPr>
                <w:noProof/>
                <w:webHidden/>
              </w:rPr>
            </w:r>
            <w:r>
              <w:rPr>
                <w:noProof/>
                <w:webHidden/>
              </w:rPr>
              <w:fldChar w:fldCharType="separate"/>
            </w:r>
            <w:r w:rsidR="00F31AB4">
              <w:rPr>
                <w:noProof/>
                <w:webHidden/>
              </w:rPr>
              <w:t>23</w:t>
            </w:r>
            <w:r>
              <w:rPr>
                <w:noProof/>
                <w:webHidden/>
              </w:rPr>
              <w:fldChar w:fldCharType="end"/>
            </w:r>
          </w:hyperlink>
        </w:p>
        <w:p w14:paraId="0F395070" w14:textId="6D2CE2A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597450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34ED0A54" w:rsidR="00F13DFD" w:rsidRPr="00F968BF" w:rsidRDefault="00F968BF" w:rsidP="00DD199C">
      <w:pPr>
        <w:spacing w:before="120"/>
        <w:jc w:val="both"/>
        <w:rPr>
          <w:b/>
          <w:bCs/>
          <w:iCs/>
          <w:sz w:val="24"/>
          <w:szCs w:val="24"/>
        </w:rPr>
      </w:pPr>
      <w:r w:rsidRPr="00F968BF">
        <w:rPr>
          <w:b/>
          <w:bCs/>
          <w:iCs/>
          <w:sz w:val="24"/>
          <w:szCs w:val="24"/>
        </w:rPr>
        <w:t xml:space="preserve">Oddział KWK </w:t>
      </w:r>
      <w:r w:rsidR="0046179F">
        <w:rPr>
          <w:b/>
          <w:bCs/>
          <w:iCs/>
          <w:sz w:val="24"/>
          <w:szCs w:val="24"/>
        </w:rPr>
        <w:t>Sośnica</w:t>
      </w:r>
    </w:p>
    <w:p w14:paraId="02886673" w14:textId="10F5AA95" w:rsidR="00F13DFD" w:rsidRPr="00F968BF" w:rsidRDefault="00F968BF" w:rsidP="00DD199C">
      <w:pPr>
        <w:spacing w:before="120"/>
        <w:jc w:val="both"/>
        <w:rPr>
          <w:b/>
          <w:bCs/>
          <w:iCs/>
          <w:sz w:val="24"/>
          <w:szCs w:val="24"/>
        </w:rPr>
      </w:pPr>
      <w:r w:rsidRPr="00F968BF">
        <w:rPr>
          <w:b/>
          <w:bCs/>
          <w:iCs/>
          <w:sz w:val="24"/>
          <w:szCs w:val="24"/>
        </w:rPr>
        <w:t>4</w:t>
      </w:r>
      <w:r w:rsidR="0046179F">
        <w:rPr>
          <w:b/>
          <w:bCs/>
          <w:iCs/>
          <w:sz w:val="24"/>
          <w:szCs w:val="24"/>
        </w:rPr>
        <w:t>4</w:t>
      </w:r>
      <w:r w:rsidRPr="00F968BF">
        <w:rPr>
          <w:b/>
          <w:bCs/>
          <w:iCs/>
          <w:sz w:val="24"/>
          <w:szCs w:val="24"/>
        </w:rPr>
        <w:t>-</w:t>
      </w:r>
      <w:r w:rsidR="0046179F">
        <w:rPr>
          <w:b/>
          <w:bCs/>
          <w:iCs/>
          <w:sz w:val="24"/>
          <w:szCs w:val="24"/>
        </w:rPr>
        <w:t>103</w:t>
      </w:r>
      <w:r w:rsidRPr="00F968BF">
        <w:rPr>
          <w:b/>
          <w:bCs/>
          <w:iCs/>
          <w:sz w:val="24"/>
          <w:szCs w:val="24"/>
        </w:rPr>
        <w:t xml:space="preserve"> </w:t>
      </w:r>
      <w:r w:rsidR="0046179F">
        <w:rPr>
          <w:b/>
          <w:bCs/>
          <w:iCs/>
          <w:sz w:val="24"/>
          <w:szCs w:val="24"/>
        </w:rPr>
        <w:t>Gliwice</w:t>
      </w:r>
      <w:r w:rsidRPr="00F968BF">
        <w:rPr>
          <w:b/>
          <w:bCs/>
          <w:iCs/>
          <w:sz w:val="24"/>
          <w:szCs w:val="24"/>
        </w:rPr>
        <w:t>, ul. B</w:t>
      </w:r>
      <w:r w:rsidR="0046179F">
        <w:rPr>
          <w:b/>
          <w:bCs/>
          <w:iCs/>
          <w:sz w:val="24"/>
          <w:szCs w:val="24"/>
        </w:rPr>
        <w:t>łonie 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5974507"/>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5974508"/>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31FDFD72"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46179F">
        <w:rPr>
          <w:b/>
        </w:rPr>
        <w:t>Sośnica</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597450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597451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6154BA1"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46179F">
        <w:rPr>
          <w:b/>
          <w:color w:val="4472C4" w:themeColor="accent1"/>
        </w:rPr>
        <w:t>17</w:t>
      </w:r>
      <w:r w:rsidR="00110295">
        <w:rPr>
          <w:b/>
          <w:color w:val="4472C4" w:themeColor="accent1"/>
        </w:rPr>
        <w:t>0</w:t>
      </w:r>
      <w:r w:rsidR="00836838" w:rsidRPr="00836838">
        <w:rPr>
          <w:b/>
          <w:color w:val="4472C4" w:themeColor="accent1"/>
        </w:rPr>
        <w:t xml:space="preserve">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597451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5974512"/>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597451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w:t>
      </w:r>
      <w:r w:rsidRPr="006E7A3F">
        <w:rPr>
          <w:bCs/>
          <w:iCs/>
        </w:rPr>
        <w:lastRenderedPageBreak/>
        <w:t xml:space="preserve">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597451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597451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597451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597451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597451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5974519"/>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5974520"/>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597452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597452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w:t>
      </w:r>
      <w:r w:rsidRPr="008D3149">
        <w:lastRenderedPageBreak/>
        <w:t xml:space="preserve">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597452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597452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597452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597452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597452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5974528"/>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2B145456" w:rsidR="00C74600" w:rsidRPr="00042DE0"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1719D3">
        <w:rPr>
          <w:bCs/>
          <w:sz w:val="22"/>
          <w:szCs w:val="22"/>
        </w:rPr>
        <w:t>Sośnica</w:t>
      </w:r>
      <w:r w:rsidRPr="00042DE0">
        <w:rPr>
          <w:bCs/>
          <w:sz w:val="22"/>
          <w:szCs w:val="22"/>
        </w:rPr>
        <w:t>.</w:t>
      </w:r>
    </w:p>
    <w:p w14:paraId="039C60E3" w14:textId="4553BBB9" w:rsidR="00C74600" w:rsidRPr="00BB0C9A" w:rsidRDefault="00C74600" w:rsidP="00C74600">
      <w:pPr>
        <w:pStyle w:val="Akapitzlist"/>
        <w:numPr>
          <w:ilvl w:val="6"/>
          <w:numId w:val="15"/>
        </w:numPr>
        <w:ind w:left="993" w:hanging="426"/>
        <w:jc w:val="both"/>
        <w:rPr>
          <w:sz w:val="22"/>
          <w:szCs w:val="22"/>
          <w:highlight w:val="cyan"/>
        </w:rPr>
      </w:pPr>
      <w:r w:rsidRPr="00BB0C9A">
        <w:rPr>
          <w:sz w:val="22"/>
          <w:szCs w:val="22"/>
          <w:highlight w:val="cyan"/>
        </w:rPr>
        <w:t xml:space="preserve">Zakres zamówienia obejmuje także badania pracowników zatrudnionych w Centrali PGG S.A. oraz zakładach specjalistycznych PGG S.A. (m. in. ZIT, EC), a świadczących pracę </w:t>
      </w:r>
      <w:r w:rsidRPr="00BB0C9A">
        <w:rPr>
          <w:sz w:val="22"/>
          <w:szCs w:val="22"/>
          <w:highlight w:val="cyan"/>
        </w:rPr>
        <w:br/>
        <w:t xml:space="preserve">w rejonie Oddziału KWK </w:t>
      </w:r>
      <w:r w:rsidR="001719D3" w:rsidRPr="00BB0C9A">
        <w:rPr>
          <w:sz w:val="22"/>
          <w:szCs w:val="22"/>
          <w:highlight w:val="cyan"/>
        </w:rPr>
        <w:t>Sośnica</w:t>
      </w:r>
      <w:r w:rsidR="00BB0C9A" w:rsidRPr="00BB0C9A">
        <w:rPr>
          <w:sz w:val="22"/>
          <w:szCs w:val="22"/>
          <w:highlight w:val="cyan"/>
        </w:rPr>
        <w:t xml:space="preserve"> i innych Oddziałach PGG S.A.</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3D87B8A1"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w:t>
      </w:r>
      <w:r w:rsidR="001719D3">
        <w:rPr>
          <w:rFonts w:ascii="Times New Roman" w:hAnsi="Times New Roman" w:cs="Times New Roman"/>
          <w:sz w:val="22"/>
          <w:szCs w:val="22"/>
        </w:rPr>
        <w:t>Gliwice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2A5F7F2F"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4D22F5" w:rsidRPr="004D22F5">
        <w:rPr>
          <w:rFonts w:eastAsia="Calibri"/>
          <w:bCs/>
          <w:color w:val="4472C4" w:themeColor="accent1"/>
          <w:sz w:val="22"/>
          <w:szCs w:val="22"/>
        </w:rPr>
        <w:t xml:space="preserve">2 </w:t>
      </w:r>
      <w:r w:rsidR="001719D3">
        <w:rPr>
          <w:rFonts w:eastAsia="Calibri"/>
          <w:bCs/>
          <w:color w:val="4472C4" w:themeColor="accent1"/>
          <w:sz w:val="22"/>
          <w:szCs w:val="22"/>
        </w:rPr>
        <w:t>324</w:t>
      </w:r>
      <w:r w:rsidRPr="007F7D20">
        <w:rPr>
          <w:rFonts w:eastAsia="Calibri"/>
          <w:bCs/>
          <w:sz w:val="22"/>
          <w:szCs w:val="22"/>
        </w:rPr>
        <w:t>, w tym dla:</w:t>
      </w:r>
    </w:p>
    <w:p w14:paraId="400A75E8" w14:textId="3E271112"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1719D3">
        <w:rPr>
          <w:rFonts w:eastAsia="Calibri"/>
          <w:bCs/>
          <w:color w:val="4472C4" w:themeColor="accent1"/>
          <w:sz w:val="22"/>
          <w:szCs w:val="22"/>
        </w:rPr>
        <w:t>144</w:t>
      </w:r>
    </w:p>
    <w:p w14:paraId="20DE0593" w14:textId="2BF02FAF"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1719D3">
        <w:rPr>
          <w:rFonts w:eastAsia="Calibri"/>
          <w:bCs/>
          <w:color w:val="4472C4" w:themeColor="accent1"/>
          <w:sz w:val="22"/>
          <w:szCs w:val="22"/>
        </w:rPr>
        <w:t>2 160</w:t>
      </w:r>
    </w:p>
    <w:p w14:paraId="6C5A1766" w14:textId="58C61624"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1719D3">
        <w:rPr>
          <w:rFonts w:eastAsia="Calibri"/>
          <w:bCs/>
          <w:color w:val="4472C4" w:themeColor="accent1"/>
          <w:sz w:val="22"/>
          <w:szCs w:val="22"/>
        </w:rPr>
        <w:t>20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6C245C99"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1719D3">
        <w:rPr>
          <w:sz w:val="22"/>
          <w:szCs w:val="22"/>
        </w:rPr>
        <w:t>Sośnica</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CD3F2E3"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110295">
              <w:rPr>
                <w:b/>
                <w:bCs/>
                <w:color w:val="4472C4" w:themeColor="accent1"/>
                <w:lang w:eastAsia="zh-CN"/>
              </w:rPr>
              <w:t>170</w:t>
            </w:r>
            <w:r w:rsidR="004D22F5" w:rsidRPr="0090708A">
              <w:rPr>
                <w:b/>
                <w:bCs/>
                <w:color w:val="4472C4" w:themeColor="accent1"/>
                <w:lang w:eastAsia="zh-CN"/>
              </w:rPr>
              <w:t> 000,00 P</w:t>
            </w:r>
            <w:r w:rsidRPr="0090708A">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3BA51644" w:rsidR="007E55A8" w:rsidRPr="00B65F2E" w:rsidRDefault="007E55A8" w:rsidP="00B65F2E">
            <w:pPr>
              <w:ind w:left="-43"/>
              <w:rPr>
                <w:i/>
              </w:rPr>
            </w:pPr>
            <w:r w:rsidRPr="00B65F2E">
              <w:rPr>
                <w:b/>
                <w:i/>
                <w:color w:val="4472C4" w:themeColor="accent1"/>
              </w:rPr>
              <w:t>co najmniej</w:t>
            </w:r>
            <w:r w:rsidRPr="00B65F2E">
              <w:rPr>
                <w:b/>
                <w:bCs/>
                <w:i/>
                <w:color w:val="4472C4" w:themeColor="accent1"/>
              </w:rPr>
              <w:t xml:space="preserve"> jeden lekarz</w:t>
            </w:r>
            <w:r w:rsidRPr="00B65F2E">
              <w:rPr>
                <w:i/>
                <w:color w:val="4472C4" w:themeColor="accent1"/>
              </w:rPr>
              <w:t xml:space="preserve"> </w:t>
            </w:r>
            <w:r w:rsidRPr="00B65F2E">
              <w:rPr>
                <w:i/>
              </w:rPr>
              <w:t>posiadający uprawnienia do wykonywania zawodu lekarza, zgodnie z ustawą z dnia 5 grudnia 1996r. o zawodach lekarza i dentysty (</w:t>
            </w:r>
            <w:proofErr w:type="spellStart"/>
            <w:r w:rsidRPr="00B65F2E">
              <w:rPr>
                <w:i/>
              </w:rPr>
              <w:t>t.j</w:t>
            </w:r>
            <w:proofErr w:type="spellEnd"/>
            <w:r w:rsidRPr="00B65F2E">
              <w:rPr>
                <w:i/>
              </w:rPr>
              <w:t xml:space="preserve">. Dz.U. z 2024 r. poz. 1287 z </w:t>
            </w:r>
            <w:proofErr w:type="spellStart"/>
            <w:r w:rsidRPr="00B65F2E">
              <w:rPr>
                <w:i/>
              </w:rPr>
              <w:t>późn</w:t>
            </w:r>
            <w:proofErr w:type="spellEnd"/>
            <w:r w:rsidRPr="00B65F2E">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B65F2E" w:rsidRDefault="00490259" w:rsidP="00B65F2E">
            <w:pPr>
              <w:ind w:left="-43"/>
              <w:rPr>
                <w:i/>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4D22F5" w:rsidRDefault="00715D96" w:rsidP="003510EE">
      <w:pPr>
        <w:tabs>
          <w:tab w:val="left" w:pos="851"/>
        </w:tabs>
        <w:jc w:val="both"/>
        <w:rPr>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CD2B43">
        <w:rPr>
          <w:b/>
          <w:i/>
          <w:color w:val="4472C4" w:themeColor="accent1"/>
          <w:sz w:val="22"/>
        </w:rPr>
        <w:t>usługa zwolniona z podatku</w:t>
      </w:r>
      <w:r w:rsidR="003510EE" w:rsidRPr="004D22F5">
        <w:rPr>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8DBF326" w14:textId="37908CFA" w:rsidR="000830AE"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5975777" w:history="1">
            <w:r w:rsidR="000830AE" w:rsidRPr="00DC7683">
              <w:rPr>
                <w:rStyle w:val="Hipercze"/>
                <w:noProof/>
              </w:rPr>
              <w:t>§ 1. Podstawa zawarcia Umowy</w:t>
            </w:r>
            <w:r w:rsidR="000830AE">
              <w:rPr>
                <w:noProof/>
                <w:webHidden/>
              </w:rPr>
              <w:tab/>
            </w:r>
            <w:r w:rsidR="000830AE">
              <w:rPr>
                <w:noProof/>
                <w:webHidden/>
              </w:rPr>
              <w:fldChar w:fldCharType="begin"/>
            </w:r>
            <w:r w:rsidR="000830AE">
              <w:rPr>
                <w:noProof/>
                <w:webHidden/>
              </w:rPr>
              <w:instrText xml:space="preserve"> PAGEREF _Toc205975777 \h </w:instrText>
            </w:r>
            <w:r w:rsidR="000830AE">
              <w:rPr>
                <w:noProof/>
                <w:webHidden/>
              </w:rPr>
            </w:r>
            <w:r w:rsidR="000830AE">
              <w:rPr>
                <w:noProof/>
                <w:webHidden/>
              </w:rPr>
              <w:fldChar w:fldCharType="separate"/>
            </w:r>
            <w:r w:rsidR="00F31AB4">
              <w:rPr>
                <w:noProof/>
                <w:webHidden/>
              </w:rPr>
              <w:t>45</w:t>
            </w:r>
            <w:r w:rsidR="000830AE">
              <w:rPr>
                <w:noProof/>
                <w:webHidden/>
              </w:rPr>
              <w:fldChar w:fldCharType="end"/>
            </w:r>
          </w:hyperlink>
        </w:p>
        <w:p w14:paraId="290BFDCE" w14:textId="3E3E770D" w:rsidR="000830AE" w:rsidRDefault="000830AE">
          <w:pPr>
            <w:pStyle w:val="Spistreci1"/>
            <w:rPr>
              <w:rFonts w:asciiTheme="minorHAnsi" w:eastAsiaTheme="minorEastAsia" w:hAnsiTheme="minorHAnsi" w:cstheme="minorBidi"/>
              <w:noProof/>
              <w:sz w:val="22"/>
              <w:szCs w:val="22"/>
            </w:rPr>
          </w:pPr>
          <w:hyperlink w:anchor="_Toc205975778" w:history="1">
            <w:r w:rsidRPr="00DC7683">
              <w:rPr>
                <w:rStyle w:val="Hipercze"/>
                <w:noProof/>
              </w:rPr>
              <w:t>§ 2. Przedmiot Umowy</w:t>
            </w:r>
            <w:r>
              <w:rPr>
                <w:noProof/>
                <w:webHidden/>
              </w:rPr>
              <w:tab/>
            </w:r>
            <w:r>
              <w:rPr>
                <w:noProof/>
                <w:webHidden/>
              </w:rPr>
              <w:fldChar w:fldCharType="begin"/>
            </w:r>
            <w:r>
              <w:rPr>
                <w:noProof/>
                <w:webHidden/>
              </w:rPr>
              <w:instrText xml:space="preserve"> PAGEREF _Toc205975778 \h </w:instrText>
            </w:r>
            <w:r>
              <w:rPr>
                <w:noProof/>
                <w:webHidden/>
              </w:rPr>
            </w:r>
            <w:r>
              <w:rPr>
                <w:noProof/>
                <w:webHidden/>
              </w:rPr>
              <w:fldChar w:fldCharType="separate"/>
            </w:r>
            <w:r w:rsidR="00F31AB4">
              <w:rPr>
                <w:noProof/>
                <w:webHidden/>
              </w:rPr>
              <w:t>45</w:t>
            </w:r>
            <w:r>
              <w:rPr>
                <w:noProof/>
                <w:webHidden/>
              </w:rPr>
              <w:fldChar w:fldCharType="end"/>
            </w:r>
          </w:hyperlink>
        </w:p>
        <w:p w14:paraId="4C14A220" w14:textId="6920E06E" w:rsidR="000830AE" w:rsidRDefault="000830AE">
          <w:pPr>
            <w:pStyle w:val="Spistreci1"/>
            <w:rPr>
              <w:rFonts w:asciiTheme="minorHAnsi" w:eastAsiaTheme="minorEastAsia" w:hAnsiTheme="minorHAnsi" w:cstheme="minorBidi"/>
              <w:noProof/>
              <w:sz w:val="22"/>
              <w:szCs w:val="22"/>
            </w:rPr>
          </w:pPr>
          <w:hyperlink w:anchor="_Toc205975779" w:history="1">
            <w:r w:rsidRPr="00DC7683">
              <w:rPr>
                <w:rStyle w:val="Hipercze"/>
                <w:noProof/>
              </w:rPr>
              <w:t>§ 3. Cena i sposób rozliczeń</w:t>
            </w:r>
            <w:r>
              <w:rPr>
                <w:noProof/>
                <w:webHidden/>
              </w:rPr>
              <w:tab/>
            </w:r>
            <w:r>
              <w:rPr>
                <w:noProof/>
                <w:webHidden/>
              </w:rPr>
              <w:fldChar w:fldCharType="begin"/>
            </w:r>
            <w:r>
              <w:rPr>
                <w:noProof/>
                <w:webHidden/>
              </w:rPr>
              <w:instrText xml:space="preserve"> PAGEREF _Toc205975779 \h </w:instrText>
            </w:r>
            <w:r>
              <w:rPr>
                <w:noProof/>
                <w:webHidden/>
              </w:rPr>
            </w:r>
            <w:r>
              <w:rPr>
                <w:noProof/>
                <w:webHidden/>
              </w:rPr>
              <w:fldChar w:fldCharType="separate"/>
            </w:r>
            <w:r w:rsidR="00F31AB4">
              <w:rPr>
                <w:noProof/>
                <w:webHidden/>
              </w:rPr>
              <w:t>45</w:t>
            </w:r>
            <w:r>
              <w:rPr>
                <w:noProof/>
                <w:webHidden/>
              </w:rPr>
              <w:fldChar w:fldCharType="end"/>
            </w:r>
          </w:hyperlink>
        </w:p>
        <w:p w14:paraId="4E9C7ABE" w14:textId="4105BB1C" w:rsidR="000830AE" w:rsidRDefault="000830AE">
          <w:pPr>
            <w:pStyle w:val="Spistreci1"/>
            <w:rPr>
              <w:rFonts w:asciiTheme="minorHAnsi" w:eastAsiaTheme="minorEastAsia" w:hAnsiTheme="minorHAnsi" w:cstheme="minorBidi"/>
              <w:noProof/>
              <w:sz w:val="22"/>
              <w:szCs w:val="22"/>
            </w:rPr>
          </w:pPr>
          <w:hyperlink w:anchor="_Toc205975780" w:history="1">
            <w:r w:rsidRPr="00DC7683">
              <w:rPr>
                <w:rStyle w:val="Hipercze"/>
                <w:noProof/>
              </w:rPr>
              <w:t>§ 4. Fakturowanie i płatności</w:t>
            </w:r>
            <w:r>
              <w:rPr>
                <w:noProof/>
                <w:webHidden/>
              </w:rPr>
              <w:tab/>
            </w:r>
            <w:r>
              <w:rPr>
                <w:noProof/>
                <w:webHidden/>
              </w:rPr>
              <w:fldChar w:fldCharType="begin"/>
            </w:r>
            <w:r>
              <w:rPr>
                <w:noProof/>
                <w:webHidden/>
              </w:rPr>
              <w:instrText xml:space="preserve"> PAGEREF _Toc205975780 \h </w:instrText>
            </w:r>
            <w:r>
              <w:rPr>
                <w:noProof/>
                <w:webHidden/>
              </w:rPr>
            </w:r>
            <w:r>
              <w:rPr>
                <w:noProof/>
                <w:webHidden/>
              </w:rPr>
              <w:fldChar w:fldCharType="separate"/>
            </w:r>
            <w:r w:rsidR="00F31AB4">
              <w:rPr>
                <w:noProof/>
                <w:webHidden/>
              </w:rPr>
              <w:t>45</w:t>
            </w:r>
            <w:r>
              <w:rPr>
                <w:noProof/>
                <w:webHidden/>
              </w:rPr>
              <w:fldChar w:fldCharType="end"/>
            </w:r>
          </w:hyperlink>
        </w:p>
        <w:p w14:paraId="641DB20C" w14:textId="43ACC9BF" w:rsidR="000830AE" w:rsidRDefault="000830AE">
          <w:pPr>
            <w:pStyle w:val="Spistreci1"/>
            <w:rPr>
              <w:rFonts w:asciiTheme="minorHAnsi" w:eastAsiaTheme="minorEastAsia" w:hAnsiTheme="minorHAnsi" w:cstheme="minorBidi"/>
              <w:noProof/>
              <w:sz w:val="22"/>
              <w:szCs w:val="22"/>
            </w:rPr>
          </w:pPr>
          <w:hyperlink w:anchor="_Toc205975781" w:history="1">
            <w:r w:rsidRPr="00DC7683">
              <w:rPr>
                <w:rStyle w:val="Hipercze"/>
                <w:noProof/>
              </w:rPr>
              <w:t>§ 5. Termin realizacji</w:t>
            </w:r>
            <w:r>
              <w:rPr>
                <w:noProof/>
                <w:webHidden/>
              </w:rPr>
              <w:tab/>
            </w:r>
            <w:r>
              <w:rPr>
                <w:noProof/>
                <w:webHidden/>
              </w:rPr>
              <w:fldChar w:fldCharType="begin"/>
            </w:r>
            <w:r>
              <w:rPr>
                <w:noProof/>
                <w:webHidden/>
              </w:rPr>
              <w:instrText xml:space="preserve"> PAGEREF _Toc205975781 \h </w:instrText>
            </w:r>
            <w:r>
              <w:rPr>
                <w:noProof/>
                <w:webHidden/>
              </w:rPr>
            </w:r>
            <w:r>
              <w:rPr>
                <w:noProof/>
                <w:webHidden/>
              </w:rPr>
              <w:fldChar w:fldCharType="separate"/>
            </w:r>
            <w:r w:rsidR="00F31AB4">
              <w:rPr>
                <w:noProof/>
                <w:webHidden/>
              </w:rPr>
              <w:t>47</w:t>
            </w:r>
            <w:r>
              <w:rPr>
                <w:noProof/>
                <w:webHidden/>
              </w:rPr>
              <w:fldChar w:fldCharType="end"/>
            </w:r>
          </w:hyperlink>
        </w:p>
        <w:p w14:paraId="62446D32" w14:textId="4C9B3830" w:rsidR="000830AE" w:rsidRDefault="000830AE">
          <w:pPr>
            <w:pStyle w:val="Spistreci1"/>
            <w:rPr>
              <w:rFonts w:asciiTheme="minorHAnsi" w:eastAsiaTheme="minorEastAsia" w:hAnsiTheme="minorHAnsi" w:cstheme="minorBidi"/>
              <w:noProof/>
              <w:sz w:val="22"/>
              <w:szCs w:val="22"/>
            </w:rPr>
          </w:pPr>
          <w:hyperlink w:anchor="_Toc205975782" w:history="1">
            <w:r w:rsidRPr="00DC7683">
              <w:rPr>
                <w:rStyle w:val="Hipercze"/>
                <w:noProof/>
              </w:rPr>
              <w:t xml:space="preserve">§ 6. Gwarancja i postępowanie reklamacyjne – </w:t>
            </w:r>
            <w:r w:rsidRPr="00DC7683">
              <w:rPr>
                <w:rStyle w:val="Hipercze"/>
                <w:i/>
                <w:noProof/>
              </w:rPr>
              <w:t>nie dotyczy</w:t>
            </w:r>
            <w:r>
              <w:rPr>
                <w:noProof/>
                <w:webHidden/>
              </w:rPr>
              <w:tab/>
            </w:r>
            <w:r>
              <w:rPr>
                <w:noProof/>
                <w:webHidden/>
              </w:rPr>
              <w:fldChar w:fldCharType="begin"/>
            </w:r>
            <w:r>
              <w:rPr>
                <w:noProof/>
                <w:webHidden/>
              </w:rPr>
              <w:instrText xml:space="preserve"> PAGEREF _Toc205975782 \h </w:instrText>
            </w:r>
            <w:r>
              <w:rPr>
                <w:noProof/>
                <w:webHidden/>
              </w:rPr>
            </w:r>
            <w:r>
              <w:rPr>
                <w:noProof/>
                <w:webHidden/>
              </w:rPr>
              <w:fldChar w:fldCharType="separate"/>
            </w:r>
            <w:r w:rsidR="00F31AB4">
              <w:rPr>
                <w:noProof/>
                <w:webHidden/>
              </w:rPr>
              <w:t>47</w:t>
            </w:r>
            <w:r>
              <w:rPr>
                <w:noProof/>
                <w:webHidden/>
              </w:rPr>
              <w:fldChar w:fldCharType="end"/>
            </w:r>
          </w:hyperlink>
        </w:p>
        <w:p w14:paraId="761DF426" w14:textId="72971CAF" w:rsidR="000830AE" w:rsidRDefault="000830AE">
          <w:pPr>
            <w:pStyle w:val="Spistreci1"/>
            <w:rPr>
              <w:rFonts w:asciiTheme="minorHAnsi" w:eastAsiaTheme="minorEastAsia" w:hAnsiTheme="minorHAnsi" w:cstheme="minorBidi"/>
              <w:noProof/>
              <w:sz w:val="22"/>
              <w:szCs w:val="22"/>
            </w:rPr>
          </w:pPr>
          <w:hyperlink w:anchor="_Toc205975783" w:history="1">
            <w:r w:rsidRPr="00DC7683">
              <w:rPr>
                <w:rStyle w:val="Hipercze"/>
                <w:noProof/>
              </w:rPr>
              <w:t>§ 7. Szczególne obowiązki Wykonawcy</w:t>
            </w:r>
            <w:r>
              <w:rPr>
                <w:noProof/>
                <w:webHidden/>
              </w:rPr>
              <w:tab/>
            </w:r>
            <w:r>
              <w:rPr>
                <w:noProof/>
                <w:webHidden/>
              </w:rPr>
              <w:fldChar w:fldCharType="begin"/>
            </w:r>
            <w:r>
              <w:rPr>
                <w:noProof/>
                <w:webHidden/>
              </w:rPr>
              <w:instrText xml:space="preserve"> PAGEREF _Toc205975783 \h </w:instrText>
            </w:r>
            <w:r>
              <w:rPr>
                <w:noProof/>
                <w:webHidden/>
              </w:rPr>
            </w:r>
            <w:r>
              <w:rPr>
                <w:noProof/>
                <w:webHidden/>
              </w:rPr>
              <w:fldChar w:fldCharType="separate"/>
            </w:r>
            <w:r w:rsidR="00F31AB4">
              <w:rPr>
                <w:noProof/>
                <w:webHidden/>
              </w:rPr>
              <w:t>47</w:t>
            </w:r>
            <w:r>
              <w:rPr>
                <w:noProof/>
                <w:webHidden/>
              </w:rPr>
              <w:fldChar w:fldCharType="end"/>
            </w:r>
          </w:hyperlink>
        </w:p>
        <w:p w14:paraId="762C3F9A" w14:textId="3684DCCD" w:rsidR="000830AE" w:rsidRDefault="000830AE">
          <w:pPr>
            <w:pStyle w:val="Spistreci1"/>
            <w:rPr>
              <w:rFonts w:asciiTheme="minorHAnsi" w:eastAsiaTheme="minorEastAsia" w:hAnsiTheme="minorHAnsi" w:cstheme="minorBidi"/>
              <w:noProof/>
              <w:sz w:val="22"/>
              <w:szCs w:val="22"/>
            </w:rPr>
          </w:pPr>
          <w:hyperlink w:anchor="_Toc205975784" w:history="1">
            <w:r w:rsidRPr="00DC7683">
              <w:rPr>
                <w:rStyle w:val="Hipercze"/>
                <w:noProof/>
              </w:rPr>
              <w:t xml:space="preserve">§ 8. Zabezpieczenie należytego wykonania Umowy - </w:t>
            </w:r>
            <w:r w:rsidRPr="00DC7683">
              <w:rPr>
                <w:rStyle w:val="Hipercze"/>
                <w:i/>
                <w:noProof/>
              </w:rPr>
              <w:t>nie dotyczy</w:t>
            </w:r>
            <w:r>
              <w:rPr>
                <w:noProof/>
                <w:webHidden/>
              </w:rPr>
              <w:tab/>
            </w:r>
            <w:r>
              <w:rPr>
                <w:noProof/>
                <w:webHidden/>
              </w:rPr>
              <w:fldChar w:fldCharType="begin"/>
            </w:r>
            <w:r>
              <w:rPr>
                <w:noProof/>
                <w:webHidden/>
              </w:rPr>
              <w:instrText xml:space="preserve"> PAGEREF _Toc205975784 \h </w:instrText>
            </w:r>
            <w:r>
              <w:rPr>
                <w:noProof/>
                <w:webHidden/>
              </w:rPr>
            </w:r>
            <w:r>
              <w:rPr>
                <w:noProof/>
                <w:webHidden/>
              </w:rPr>
              <w:fldChar w:fldCharType="separate"/>
            </w:r>
            <w:r w:rsidR="00F31AB4">
              <w:rPr>
                <w:noProof/>
                <w:webHidden/>
              </w:rPr>
              <w:t>47</w:t>
            </w:r>
            <w:r>
              <w:rPr>
                <w:noProof/>
                <w:webHidden/>
              </w:rPr>
              <w:fldChar w:fldCharType="end"/>
            </w:r>
          </w:hyperlink>
        </w:p>
        <w:p w14:paraId="1A90E312" w14:textId="781F4E35" w:rsidR="000830AE" w:rsidRDefault="000830AE">
          <w:pPr>
            <w:pStyle w:val="Spistreci1"/>
            <w:rPr>
              <w:rFonts w:asciiTheme="minorHAnsi" w:eastAsiaTheme="minorEastAsia" w:hAnsiTheme="minorHAnsi" w:cstheme="minorBidi"/>
              <w:noProof/>
              <w:sz w:val="22"/>
              <w:szCs w:val="22"/>
            </w:rPr>
          </w:pPr>
          <w:hyperlink w:anchor="_Toc205975785" w:history="1">
            <w:r w:rsidRPr="00DC7683">
              <w:rPr>
                <w:rStyle w:val="Hipercze"/>
                <w:noProof/>
              </w:rPr>
              <w:t>§ 9. Wymagania dotyczące zatrudnienia</w:t>
            </w:r>
            <w:r>
              <w:rPr>
                <w:noProof/>
                <w:webHidden/>
              </w:rPr>
              <w:tab/>
            </w:r>
            <w:r>
              <w:rPr>
                <w:noProof/>
                <w:webHidden/>
              </w:rPr>
              <w:fldChar w:fldCharType="begin"/>
            </w:r>
            <w:r>
              <w:rPr>
                <w:noProof/>
                <w:webHidden/>
              </w:rPr>
              <w:instrText xml:space="preserve"> PAGEREF _Toc205975785 \h </w:instrText>
            </w:r>
            <w:r>
              <w:rPr>
                <w:noProof/>
                <w:webHidden/>
              </w:rPr>
            </w:r>
            <w:r>
              <w:rPr>
                <w:noProof/>
                <w:webHidden/>
              </w:rPr>
              <w:fldChar w:fldCharType="separate"/>
            </w:r>
            <w:r w:rsidR="00F31AB4">
              <w:rPr>
                <w:noProof/>
                <w:webHidden/>
              </w:rPr>
              <w:t>47</w:t>
            </w:r>
            <w:r>
              <w:rPr>
                <w:noProof/>
                <w:webHidden/>
              </w:rPr>
              <w:fldChar w:fldCharType="end"/>
            </w:r>
          </w:hyperlink>
        </w:p>
        <w:p w14:paraId="4363E136" w14:textId="2D877B38" w:rsidR="000830AE" w:rsidRDefault="000830AE">
          <w:pPr>
            <w:pStyle w:val="Spistreci1"/>
            <w:rPr>
              <w:rFonts w:asciiTheme="minorHAnsi" w:eastAsiaTheme="minorEastAsia" w:hAnsiTheme="minorHAnsi" w:cstheme="minorBidi"/>
              <w:noProof/>
              <w:sz w:val="22"/>
              <w:szCs w:val="22"/>
            </w:rPr>
          </w:pPr>
          <w:hyperlink w:anchor="_Toc205975786" w:history="1">
            <w:r w:rsidRPr="00DC7683">
              <w:rPr>
                <w:rStyle w:val="Hipercze"/>
                <w:noProof/>
              </w:rPr>
              <w:t>§ 10. Podwykonawstwo</w:t>
            </w:r>
            <w:r>
              <w:rPr>
                <w:noProof/>
                <w:webHidden/>
              </w:rPr>
              <w:tab/>
            </w:r>
            <w:r>
              <w:rPr>
                <w:noProof/>
                <w:webHidden/>
              </w:rPr>
              <w:fldChar w:fldCharType="begin"/>
            </w:r>
            <w:r>
              <w:rPr>
                <w:noProof/>
                <w:webHidden/>
              </w:rPr>
              <w:instrText xml:space="preserve"> PAGEREF _Toc205975786 \h </w:instrText>
            </w:r>
            <w:r>
              <w:rPr>
                <w:noProof/>
                <w:webHidden/>
              </w:rPr>
            </w:r>
            <w:r>
              <w:rPr>
                <w:noProof/>
                <w:webHidden/>
              </w:rPr>
              <w:fldChar w:fldCharType="separate"/>
            </w:r>
            <w:r w:rsidR="00F31AB4">
              <w:rPr>
                <w:noProof/>
                <w:webHidden/>
              </w:rPr>
              <w:t>48</w:t>
            </w:r>
            <w:r>
              <w:rPr>
                <w:noProof/>
                <w:webHidden/>
              </w:rPr>
              <w:fldChar w:fldCharType="end"/>
            </w:r>
          </w:hyperlink>
        </w:p>
        <w:p w14:paraId="69C3ACE1" w14:textId="218D2880" w:rsidR="000830AE" w:rsidRDefault="000830AE">
          <w:pPr>
            <w:pStyle w:val="Spistreci1"/>
            <w:rPr>
              <w:rFonts w:asciiTheme="minorHAnsi" w:eastAsiaTheme="minorEastAsia" w:hAnsiTheme="minorHAnsi" w:cstheme="minorBidi"/>
              <w:noProof/>
              <w:sz w:val="22"/>
              <w:szCs w:val="22"/>
            </w:rPr>
          </w:pPr>
          <w:hyperlink w:anchor="_Toc205975787" w:history="1">
            <w:r w:rsidRPr="00DC7683">
              <w:rPr>
                <w:rStyle w:val="Hipercze"/>
                <w:noProof/>
              </w:rPr>
              <w:t>§ 11. Nadzór i koordynacja</w:t>
            </w:r>
            <w:r>
              <w:rPr>
                <w:noProof/>
                <w:webHidden/>
              </w:rPr>
              <w:tab/>
            </w:r>
            <w:r>
              <w:rPr>
                <w:noProof/>
                <w:webHidden/>
              </w:rPr>
              <w:fldChar w:fldCharType="begin"/>
            </w:r>
            <w:r>
              <w:rPr>
                <w:noProof/>
                <w:webHidden/>
              </w:rPr>
              <w:instrText xml:space="preserve"> PAGEREF _Toc205975787 \h </w:instrText>
            </w:r>
            <w:r>
              <w:rPr>
                <w:noProof/>
                <w:webHidden/>
              </w:rPr>
            </w:r>
            <w:r>
              <w:rPr>
                <w:noProof/>
                <w:webHidden/>
              </w:rPr>
              <w:fldChar w:fldCharType="separate"/>
            </w:r>
            <w:r w:rsidR="00F31AB4">
              <w:rPr>
                <w:noProof/>
                <w:webHidden/>
              </w:rPr>
              <w:t>49</w:t>
            </w:r>
            <w:r>
              <w:rPr>
                <w:noProof/>
                <w:webHidden/>
              </w:rPr>
              <w:fldChar w:fldCharType="end"/>
            </w:r>
          </w:hyperlink>
        </w:p>
        <w:p w14:paraId="12CC32E5" w14:textId="1AC8281F" w:rsidR="000830AE" w:rsidRDefault="000830AE">
          <w:pPr>
            <w:pStyle w:val="Spistreci1"/>
            <w:rPr>
              <w:rFonts w:asciiTheme="minorHAnsi" w:eastAsiaTheme="minorEastAsia" w:hAnsiTheme="minorHAnsi" w:cstheme="minorBidi"/>
              <w:noProof/>
              <w:sz w:val="22"/>
              <w:szCs w:val="22"/>
            </w:rPr>
          </w:pPr>
          <w:hyperlink w:anchor="_Toc205975788" w:history="1">
            <w:r w:rsidRPr="00DC7683">
              <w:rPr>
                <w:rStyle w:val="Hipercze"/>
                <w:noProof/>
              </w:rPr>
              <w:t>§ 12. Badania kontrolne (Audyt)</w:t>
            </w:r>
            <w:r>
              <w:rPr>
                <w:noProof/>
                <w:webHidden/>
              </w:rPr>
              <w:tab/>
            </w:r>
            <w:r>
              <w:rPr>
                <w:noProof/>
                <w:webHidden/>
              </w:rPr>
              <w:fldChar w:fldCharType="begin"/>
            </w:r>
            <w:r>
              <w:rPr>
                <w:noProof/>
                <w:webHidden/>
              </w:rPr>
              <w:instrText xml:space="preserve"> PAGEREF _Toc205975788 \h </w:instrText>
            </w:r>
            <w:r>
              <w:rPr>
                <w:noProof/>
                <w:webHidden/>
              </w:rPr>
            </w:r>
            <w:r>
              <w:rPr>
                <w:noProof/>
                <w:webHidden/>
              </w:rPr>
              <w:fldChar w:fldCharType="separate"/>
            </w:r>
            <w:r w:rsidR="00F31AB4">
              <w:rPr>
                <w:noProof/>
                <w:webHidden/>
              </w:rPr>
              <w:t>49</w:t>
            </w:r>
            <w:r>
              <w:rPr>
                <w:noProof/>
                <w:webHidden/>
              </w:rPr>
              <w:fldChar w:fldCharType="end"/>
            </w:r>
          </w:hyperlink>
        </w:p>
        <w:p w14:paraId="3EC93809" w14:textId="27E22816" w:rsidR="000830AE" w:rsidRDefault="000830AE">
          <w:pPr>
            <w:pStyle w:val="Spistreci1"/>
            <w:rPr>
              <w:rFonts w:asciiTheme="minorHAnsi" w:eastAsiaTheme="minorEastAsia" w:hAnsiTheme="minorHAnsi" w:cstheme="minorBidi"/>
              <w:noProof/>
              <w:sz w:val="22"/>
              <w:szCs w:val="22"/>
            </w:rPr>
          </w:pPr>
          <w:hyperlink w:anchor="_Toc205975789" w:history="1">
            <w:r w:rsidRPr="00DC7683">
              <w:rPr>
                <w:rStyle w:val="Hipercze"/>
                <w:noProof/>
              </w:rPr>
              <w:t>§ 13. Kary umowne i odpowiedzialność</w:t>
            </w:r>
            <w:r>
              <w:rPr>
                <w:noProof/>
                <w:webHidden/>
              </w:rPr>
              <w:tab/>
            </w:r>
            <w:r>
              <w:rPr>
                <w:noProof/>
                <w:webHidden/>
              </w:rPr>
              <w:fldChar w:fldCharType="begin"/>
            </w:r>
            <w:r>
              <w:rPr>
                <w:noProof/>
                <w:webHidden/>
              </w:rPr>
              <w:instrText xml:space="preserve"> PAGEREF _Toc205975789 \h </w:instrText>
            </w:r>
            <w:r>
              <w:rPr>
                <w:noProof/>
                <w:webHidden/>
              </w:rPr>
            </w:r>
            <w:r>
              <w:rPr>
                <w:noProof/>
                <w:webHidden/>
              </w:rPr>
              <w:fldChar w:fldCharType="separate"/>
            </w:r>
            <w:r w:rsidR="00F31AB4">
              <w:rPr>
                <w:noProof/>
                <w:webHidden/>
              </w:rPr>
              <w:t>50</w:t>
            </w:r>
            <w:r>
              <w:rPr>
                <w:noProof/>
                <w:webHidden/>
              </w:rPr>
              <w:fldChar w:fldCharType="end"/>
            </w:r>
          </w:hyperlink>
        </w:p>
        <w:p w14:paraId="487777A1" w14:textId="707A3169" w:rsidR="000830AE" w:rsidRDefault="000830AE">
          <w:pPr>
            <w:pStyle w:val="Spistreci1"/>
            <w:rPr>
              <w:rFonts w:asciiTheme="minorHAnsi" w:eastAsiaTheme="minorEastAsia" w:hAnsiTheme="minorHAnsi" w:cstheme="minorBidi"/>
              <w:noProof/>
              <w:sz w:val="22"/>
              <w:szCs w:val="22"/>
            </w:rPr>
          </w:pPr>
          <w:hyperlink w:anchor="_Toc205975790" w:history="1">
            <w:r w:rsidRPr="00DC768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_Toc205975790 \h </w:instrText>
            </w:r>
            <w:r>
              <w:rPr>
                <w:noProof/>
                <w:webHidden/>
              </w:rPr>
            </w:r>
            <w:r>
              <w:rPr>
                <w:noProof/>
                <w:webHidden/>
              </w:rPr>
              <w:fldChar w:fldCharType="separate"/>
            </w:r>
            <w:r w:rsidR="00F31AB4">
              <w:rPr>
                <w:noProof/>
                <w:webHidden/>
              </w:rPr>
              <w:t>52</w:t>
            </w:r>
            <w:r>
              <w:rPr>
                <w:noProof/>
                <w:webHidden/>
              </w:rPr>
              <w:fldChar w:fldCharType="end"/>
            </w:r>
          </w:hyperlink>
        </w:p>
        <w:p w14:paraId="2A352478" w14:textId="49823BD7" w:rsidR="000830AE" w:rsidRDefault="000830AE">
          <w:pPr>
            <w:pStyle w:val="Spistreci1"/>
            <w:rPr>
              <w:rFonts w:asciiTheme="minorHAnsi" w:eastAsiaTheme="minorEastAsia" w:hAnsiTheme="minorHAnsi" w:cstheme="minorBidi"/>
              <w:noProof/>
              <w:sz w:val="22"/>
              <w:szCs w:val="22"/>
            </w:rPr>
          </w:pPr>
          <w:hyperlink w:anchor="_Toc205975791" w:history="1">
            <w:r w:rsidRPr="00DC7683">
              <w:rPr>
                <w:rStyle w:val="Hipercze"/>
                <w:noProof/>
              </w:rPr>
              <w:t>§ 15. Zmiany Umowy</w:t>
            </w:r>
            <w:r>
              <w:rPr>
                <w:noProof/>
                <w:webHidden/>
              </w:rPr>
              <w:tab/>
            </w:r>
            <w:r>
              <w:rPr>
                <w:noProof/>
                <w:webHidden/>
              </w:rPr>
              <w:fldChar w:fldCharType="begin"/>
            </w:r>
            <w:r>
              <w:rPr>
                <w:noProof/>
                <w:webHidden/>
              </w:rPr>
              <w:instrText xml:space="preserve"> PAGEREF _Toc205975791 \h </w:instrText>
            </w:r>
            <w:r>
              <w:rPr>
                <w:noProof/>
                <w:webHidden/>
              </w:rPr>
            </w:r>
            <w:r>
              <w:rPr>
                <w:noProof/>
                <w:webHidden/>
              </w:rPr>
              <w:fldChar w:fldCharType="separate"/>
            </w:r>
            <w:r w:rsidR="00F31AB4">
              <w:rPr>
                <w:noProof/>
                <w:webHidden/>
              </w:rPr>
              <w:t>53</w:t>
            </w:r>
            <w:r>
              <w:rPr>
                <w:noProof/>
                <w:webHidden/>
              </w:rPr>
              <w:fldChar w:fldCharType="end"/>
            </w:r>
          </w:hyperlink>
        </w:p>
        <w:p w14:paraId="53C4E649" w14:textId="0DA62CED" w:rsidR="000830AE" w:rsidRDefault="000830AE">
          <w:pPr>
            <w:pStyle w:val="Spistreci1"/>
            <w:rPr>
              <w:rFonts w:asciiTheme="minorHAnsi" w:eastAsiaTheme="minorEastAsia" w:hAnsiTheme="minorHAnsi" w:cstheme="minorBidi"/>
              <w:noProof/>
              <w:sz w:val="22"/>
              <w:szCs w:val="22"/>
            </w:rPr>
          </w:pPr>
          <w:hyperlink w:anchor="_Toc205975792" w:history="1">
            <w:r w:rsidRPr="00DC7683">
              <w:rPr>
                <w:rStyle w:val="Hipercze"/>
                <w:noProof/>
              </w:rPr>
              <w:t>§ 16. Waloryzacja</w:t>
            </w:r>
            <w:r>
              <w:rPr>
                <w:noProof/>
                <w:webHidden/>
              </w:rPr>
              <w:tab/>
            </w:r>
            <w:r>
              <w:rPr>
                <w:noProof/>
                <w:webHidden/>
              </w:rPr>
              <w:fldChar w:fldCharType="begin"/>
            </w:r>
            <w:r>
              <w:rPr>
                <w:noProof/>
                <w:webHidden/>
              </w:rPr>
              <w:instrText xml:space="preserve"> PAGEREF _Toc205975792 \h </w:instrText>
            </w:r>
            <w:r>
              <w:rPr>
                <w:noProof/>
                <w:webHidden/>
              </w:rPr>
            </w:r>
            <w:r>
              <w:rPr>
                <w:noProof/>
                <w:webHidden/>
              </w:rPr>
              <w:fldChar w:fldCharType="separate"/>
            </w:r>
            <w:r w:rsidR="00F31AB4">
              <w:rPr>
                <w:noProof/>
                <w:webHidden/>
              </w:rPr>
              <w:t>55</w:t>
            </w:r>
            <w:r>
              <w:rPr>
                <w:noProof/>
                <w:webHidden/>
              </w:rPr>
              <w:fldChar w:fldCharType="end"/>
            </w:r>
          </w:hyperlink>
        </w:p>
        <w:p w14:paraId="43C35E6E" w14:textId="5C91CDE9" w:rsidR="000830AE" w:rsidRDefault="000830AE">
          <w:pPr>
            <w:pStyle w:val="Spistreci1"/>
            <w:rPr>
              <w:rFonts w:asciiTheme="minorHAnsi" w:eastAsiaTheme="minorEastAsia" w:hAnsiTheme="minorHAnsi" w:cstheme="minorBidi"/>
              <w:noProof/>
              <w:sz w:val="22"/>
              <w:szCs w:val="22"/>
            </w:rPr>
          </w:pPr>
          <w:hyperlink w:anchor="_Toc205975793" w:history="1">
            <w:r w:rsidRPr="00DC7683">
              <w:rPr>
                <w:rStyle w:val="Hipercze"/>
                <w:noProof/>
              </w:rPr>
              <w:t>§ 17. Ochrona danych osobowych</w:t>
            </w:r>
            <w:r>
              <w:rPr>
                <w:noProof/>
                <w:webHidden/>
              </w:rPr>
              <w:tab/>
            </w:r>
            <w:r>
              <w:rPr>
                <w:noProof/>
                <w:webHidden/>
              </w:rPr>
              <w:fldChar w:fldCharType="begin"/>
            </w:r>
            <w:r>
              <w:rPr>
                <w:noProof/>
                <w:webHidden/>
              </w:rPr>
              <w:instrText xml:space="preserve"> PAGEREF _Toc205975793 \h </w:instrText>
            </w:r>
            <w:r>
              <w:rPr>
                <w:noProof/>
                <w:webHidden/>
              </w:rPr>
            </w:r>
            <w:r>
              <w:rPr>
                <w:noProof/>
                <w:webHidden/>
              </w:rPr>
              <w:fldChar w:fldCharType="separate"/>
            </w:r>
            <w:r w:rsidR="00F31AB4">
              <w:rPr>
                <w:noProof/>
                <w:webHidden/>
              </w:rPr>
              <w:t>56</w:t>
            </w:r>
            <w:r>
              <w:rPr>
                <w:noProof/>
                <w:webHidden/>
              </w:rPr>
              <w:fldChar w:fldCharType="end"/>
            </w:r>
          </w:hyperlink>
        </w:p>
        <w:p w14:paraId="390A689E" w14:textId="5B2A8FC6" w:rsidR="000830AE" w:rsidRDefault="000830AE">
          <w:pPr>
            <w:pStyle w:val="Spistreci1"/>
            <w:rPr>
              <w:rFonts w:asciiTheme="minorHAnsi" w:eastAsiaTheme="minorEastAsia" w:hAnsiTheme="minorHAnsi" w:cstheme="minorBidi"/>
              <w:noProof/>
              <w:sz w:val="22"/>
              <w:szCs w:val="22"/>
            </w:rPr>
          </w:pPr>
          <w:hyperlink w:anchor="_Toc205975794" w:history="1">
            <w:r w:rsidRPr="00DC768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_Toc205975794 \h </w:instrText>
            </w:r>
            <w:r>
              <w:rPr>
                <w:noProof/>
                <w:webHidden/>
              </w:rPr>
            </w:r>
            <w:r>
              <w:rPr>
                <w:noProof/>
                <w:webHidden/>
              </w:rPr>
              <w:fldChar w:fldCharType="separate"/>
            </w:r>
            <w:r w:rsidR="00F31AB4">
              <w:rPr>
                <w:noProof/>
                <w:webHidden/>
              </w:rPr>
              <w:t>56</w:t>
            </w:r>
            <w:r>
              <w:rPr>
                <w:noProof/>
                <w:webHidden/>
              </w:rPr>
              <w:fldChar w:fldCharType="end"/>
            </w:r>
          </w:hyperlink>
        </w:p>
        <w:p w14:paraId="5F5C5A40" w14:textId="7CF5B11A" w:rsidR="000830AE" w:rsidRDefault="000830AE">
          <w:pPr>
            <w:pStyle w:val="Spistreci1"/>
            <w:rPr>
              <w:rFonts w:asciiTheme="minorHAnsi" w:eastAsiaTheme="minorEastAsia" w:hAnsiTheme="minorHAnsi" w:cstheme="minorBidi"/>
              <w:noProof/>
              <w:sz w:val="22"/>
              <w:szCs w:val="22"/>
            </w:rPr>
          </w:pPr>
          <w:hyperlink w:anchor="_Toc205975795" w:history="1">
            <w:r w:rsidRPr="00DC7683">
              <w:rPr>
                <w:rStyle w:val="Hipercze"/>
                <w:noProof/>
              </w:rPr>
              <w:t>§ 19. Zasady etyki</w:t>
            </w:r>
            <w:r>
              <w:rPr>
                <w:noProof/>
                <w:webHidden/>
              </w:rPr>
              <w:tab/>
            </w:r>
            <w:r>
              <w:rPr>
                <w:noProof/>
                <w:webHidden/>
              </w:rPr>
              <w:fldChar w:fldCharType="begin"/>
            </w:r>
            <w:r>
              <w:rPr>
                <w:noProof/>
                <w:webHidden/>
              </w:rPr>
              <w:instrText xml:space="preserve"> PAGEREF _Toc205975795 \h </w:instrText>
            </w:r>
            <w:r>
              <w:rPr>
                <w:noProof/>
                <w:webHidden/>
              </w:rPr>
            </w:r>
            <w:r>
              <w:rPr>
                <w:noProof/>
                <w:webHidden/>
              </w:rPr>
              <w:fldChar w:fldCharType="separate"/>
            </w:r>
            <w:r w:rsidR="00F31AB4">
              <w:rPr>
                <w:noProof/>
                <w:webHidden/>
              </w:rPr>
              <w:t>57</w:t>
            </w:r>
            <w:r>
              <w:rPr>
                <w:noProof/>
                <w:webHidden/>
              </w:rPr>
              <w:fldChar w:fldCharType="end"/>
            </w:r>
          </w:hyperlink>
        </w:p>
        <w:p w14:paraId="74FF35D1" w14:textId="019F7ED9" w:rsidR="000830AE" w:rsidRDefault="000830AE">
          <w:pPr>
            <w:pStyle w:val="Spistreci1"/>
            <w:rPr>
              <w:rFonts w:asciiTheme="minorHAnsi" w:eastAsiaTheme="minorEastAsia" w:hAnsiTheme="minorHAnsi" w:cstheme="minorBidi"/>
              <w:noProof/>
              <w:sz w:val="22"/>
              <w:szCs w:val="22"/>
            </w:rPr>
          </w:pPr>
          <w:hyperlink w:anchor="_Toc205975796" w:history="1">
            <w:r w:rsidRPr="00DC768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_Toc205975796 \h </w:instrText>
            </w:r>
            <w:r>
              <w:rPr>
                <w:noProof/>
                <w:webHidden/>
              </w:rPr>
            </w:r>
            <w:r>
              <w:rPr>
                <w:noProof/>
                <w:webHidden/>
              </w:rPr>
              <w:fldChar w:fldCharType="separate"/>
            </w:r>
            <w:r w:rsidR="00F31AB4">
              <w:rPr>
                <w:noProof/>
                <w:webHidden/>
              </w:rPr>
              <w:t>58</w:t>
            </w:r>
            <w:r>
              <w:rPr>
                <w:noProof/>
                <w:webHidden/>
              </w:rPr>
              <w:fldChar w:fldCharType="end"/>
            </w:r>
          </w:hyperlink>
        </w:p>
        <w:p w14:paraId="7DC09AB1" w14:textId="36D7083D" w:rsidR="000830AE" w:rsidRDefault="000830AE">
          <w:pPr>
            <w:pStyle w:val="Spistreci1"/>
            <w:rPr>
              <w:rFonts w:asciiTheme="minorHAnsi" w:eastAsiaTheme="minorEastAsia" w:hAnsiTheme="minorHAnsi" w:cstheme="minorBidi"/>
              <w:noProof/>
              <w:sz w:val="22"/>
              <w:szCs w:val="22"/>
            </w:rPr>
          </w:pPr>
          <w:hyperlink w:anchor="_Toc205975797" w:history="1">
            <w:r w:rsidRPr="00DC7683">
              <w:rPr>
                <w:rStyle w:val="Hipercze"/>
                <w:noProof/>
              </w:rPr>
              <w:t>§ 21. Siła wyższa</w:t>
            </w:r>
            <w:r>
              <w:rPr>
                <w:noProof/>
                <w:webHidden/>
              </w:rPr>
              <w:tab/>
            </w:r>
            <w:r>
              <w:rPr>
                <w:noProof/>
                <w:webHidden/>
              </w:rPr>
              <w:fldChar w:fldCharType="begin"/>
            </w:r>
            <w:r>
              <w:rPr>
                <w:noProof/>
                <w:webHidden/>
              </w:rPr>
              <w:instrText xml:space="preserve"> PAGEREF _Toc205975797 \h </w:instrText>
            </w:r>
            <w:r>
              <w:rPr>
                <w:noProof/>
                <w:webHidden/>
              </w:rPr>
            </w:r>
            <w:r>
              <w:rPr>
                <w:noProof/>
                <w:webHidden/>
              </w:rPr>
              <w:fldChar w:fldCharType="separate"/>
            </w:r>
            <w:r w:rsidR="00F31AB4">
              <w:rPr>
                <w:noProof/>
                <w:webHidden/>
              </w:rPr>
              <w:t>58</w:t>
            </w:r>
            <w:r>
              <w:rPr>
                <w:noProof/>
                <w:webHidden/>
              </w:rPr>
              <w:fldChar w:fldCharType="end"/>
            </w:r>
          </w:hyperlink>
        </w:p>
        <w:p w14:paraId="60FB7D99" w14:textId="7C2B0ECD" w:rsidR="000830AE" w:rsidRDefault="000830AE">
          <w:pPr>
            <w:pStyle w:val="Spistreci1"/>
            <w:rPr>
              <w:rFonts w:asciiTheme="minorHAnsi" w:eastAsiaTheme="minorEastAsia" w:hAnsiTheme="minorHAnsi" w:cstheme="minorBidi"/>
              <w:noProof/>
              <w:sz w:val="22"/>
              <w:szCs w:val="22"/>
            </w:rPr>
          </w:pPr>
          <w:hyperlink w:anchor="_Toc205975798" w:history="1">
            <w:r w:rsidRPr="00DC7683">
              <w:rPr>
                <w:rStyle w:val="Hipercze"/>
                <w:noProof/>
              </w:rPr>
              <w:t>§ 22. Postanowienia końcowe</w:t>
            </w:r>
            <w:r>
              <w:rPr>
                <w:noProof/>
                <w:webHidden/>
              </w:rPr>
              <w:tab/>
            </w:r>
            <w:r>
              <w:rPr>
                <w:noProof/>
                <w:webHidden/>
              </w:rPr>
              <w:fldChar w:fldCharType="begin"/>
            </w:r>
            <w:r>
              <w:rPr>
                <w:noProof/>
                <w:webHidden/>
              </w:rPr>
              <w:instrText xml:space="preserve"> PAGEREF _Toc205975798 \h </w:instrText>
            </w:r>
            <w:r>
              <w:rPr>
                <w:noProof/>
                <w:webHidden/>
              </w:rPr>
            </w:r>
            <w:r>
              <w:rPr>
                <w:noProof/>
                <w:webHidden/>
              </w:rPr>
              <w:fldChar w:fldCharType="separate"/>
            </w:r>
            <w:r w:rsidR="00F31AB4">
              <w:rPr>
                <w:noProof/>
                <w:webHidden/>
              </w:rPr>
              <w:t>59</w:t>
            </w:r>
            <w:r>
              <w:rPr>
                <w:noProof/>
                <w:webHidden/>
              </w:rPr>
              <w:fldChar w:fldCharType="end"/>
            </w:r>
          </w:hyperlink>
        </w:p>
        <w:p w14:paraId="2B0E35D1" w14:textId="2DF2F1D3" w:rsidR="000830AE" w:rsidRDefault="000830AE">
          <w:pPr>
            <w:pStyle w:val="Spistreci1"/>
            <w:rPr>
              <w:rFonts w:asciiTheme="minorHAnsi" w:eastAsiaTheme="minorEastAsia" w:hAnsiTheme="minorHAnsi" w:cstheme="minorBidi"/>
              <w:noProof/>
              <w:sz w:val="22"/>
              <w:szCs w:val="22"/>
            </w:rPr>
          </w:pPr>
          <w:hyperlink w:anchor="_Toc205975799" w:history="1">
            <w:r w:rsidRPr="00DC7683">
              <w:rPr>
                <w:rStyle w:val="Hipercze"/>
                <w:noProof/>
              </w:rPr>
              <w:t>Załączniki do Umowy</w:t>
            </w:r>
            <w:r>
              <w:rPr>
                <w:noProof/>
                <w:webHidden/>
              </w:rPr>
              <w:tab/>
            </w:r>
            <w:r>
              <w:rPr>
                <w:noProof/>
                <w:webHidden/>
              </w:rPr>
              <w:fldChar w:fldCharType="begin"/>
            </w:r>
            <w:r>
              <w:rPr>
                <w:noProof/>
                <w:webHidden/>
              </w:rPr>
              <w:instrText xml:space="preserve"> PAGEREF _Toc205975799 \h </w:instrText>
            </w:r>
            <w:r>
              <w:rPr>
                <w:noProof/>
                <w:webHidden/>
              </w:rPr>
            </w:r>
            <w:r>
              <w:rPr>
                <w:noProof/>
                <w:webHidden/>
              </w:rPr>
              <w:fldChar w:fldCharType="separate"/>
            </w:r>
            <w:r w:rsidR="00F31AB4">
              <w:rPr>
                <w:noProof/>
                <w:webHidden/>
              </w:rPr>
              <w:t>59</w:t>
            </w:r>
            <w:r>
              <w:rPr>
                <w:noProof/>
                <w:webHidden/>
              </w:rPr>
              <w:fldChar w:fldCharType="end"/>
            </w:r>
          </w:hyperlink>
        </w:p>
        <w:p w14:paraId="2B09694E" w14:textId="1DDB7AD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5975777"/>
      <w:bookmarkStart w:id="127" w:name="_Hlk67825483"/>
      <w:r w:rsidRPr="000C23F8">
        <w:lastRenderedPageBreak/>
        <w:t>§ 1. Podstawa zawarcia Umowy</w:t>
      </w:r>
      <w:bookmarkEnd w:id="122"/>
      <w:bookmarkEnd w:id="123"/>
      <w:bookmarkEnd w:id="124"/>
      <w:bookmarkEnd w:id="125"/>
      <w:bookmarkEnd w:id="126"/>
    </w:p>
    <w:p w14:paraId="16A3B8FC" w14:textId="7DE23037" w:rsidR="000C23F8" w:rsidRDefault="000C23F8" w:rsidP="00B65F2E">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8112C5">
        <w:rPr>
          <w:b/>
          <w:bCs/>
          <w:sz w:val="22"/>
          <w:szCs w:val="22"/>
        </w:rPr>
        <w:t>Sośnica</w:t>
      </w:r>
      <w:r w:rsidR="00FD381F" w:rsidRPr="004B3D3B">
        <w:rPr>
          <w:sz w:val="22"/>
          <w:szCs w:val="22"/>
        </w:rPr>
        <w:t xml:space="preserve"> (</w:t>
      </w:r>
      <w:r w:rsidRPr="004B3D3B">
        <w:rPr>
          <w:sz w:val="22"/>
          <w:szCs w:val="22"/>
        </w:rPr>
        <w:t xml:space="preserve">nr sprawy </w:t>
      </w:r>
      <w:r w:rsidR="008112C5">
        <w:rPr>
          <w:sz w:val="22"/>
          <w:szCs w:val="22"/>
        </w:rPr>
        <w:t>412500896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7"/>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5975778"/>
      <w:r w:rsidRPr="004B3D3B">
        <w:t>§ 2. Przedmiot Umowy</w:t>
      </w:r>
      <w:bookmarkEnd w:id="129"/>
      <w:bookmarkEnd w:id="130"/>
      <w:bookmarkEnd w:id="131"/>
      <w:bookmarkEnd w:id="132"/>
      <w:bookmarkEnd w:id="133"/>
    </w:p>
    <w:p w14:paraId="3809B8E3" w14:textId="4194ACAB"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z zakresu medycyny pracy dla Polskiej Grupy Górniczej S.A. Oddział KWK </w:t>
      </w:r>
      <w:r w:rsidR="008112C5">
        <w:rPr>
          <w:sz w:val="22"/>
          <w:szCs w:val="22"/>
        </w:rPr>
        <w:t>Sośnica</w:t>
      </w:r>
      <w:r w:rsidR="004B3D3B" w:rsidRPr="004B3D3B">
        <w:rPr>
          <w:sz w:val="22"/>
          <w:szCs w:val="22"/>
        </w:rPr>
        <w:t>.</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5975779"/>
      <w:bookmarkEnd w:id="128"/>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5975780"/>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t>
      </w:r>
      <w:r w:rsidRPr="000E40FD">
        <w:rPr>
          <w:sz w:val="22"/>
          <w:szCs w:val="22"/>
        </w:rPr>
        <w:lastRenderedPageBreak/>
        <w:t xml:space="preserve">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26A441C8"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 xml:space="preserve">KWK </w:t>
      </w:r>
      <w:r w:rsidR="008112C5">
        <w:rPr>
          <w:b/>
          <w:sz w:val="22"/>
          <w:szCs w:val="22"/>
        </w:rPr>
        <w:t>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5975781"/>
      <w:bookmarkStart w:id="154" w:name="_Hlk155935130"/>
      <w:r w:rsidRPr="00E66F78">
        <w:t>§ 5. Termin realizacji</w:t>
      </w:r>
      <w:bookmarkEnd w:id="149"/>
      <w:bookmarkEnd w:id="150"/>
      <w:bookmarkEnd w:id="151"/>
      <w:bookmarkEnd w:id="152"/>
      <w:bookmarkEnd w:id="153"/>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5975782"/>
      <w:bookmarkEnd w:id="154"/>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5975783"/>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5975784"/>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205975785"/>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205975786"/>
      <w:bookmarkStart w:id="184" w:name="_Hlk147301573"/>
      <w:bookmarkEnd w:id="177"/>
      <w:r w:rsidRPr="00F8529D">
        <w:t>§ 10. Podwykonawstwo</w:t>
      </w:r>
      <w:bookmarkEnd w:id="179"/>
      <w:bookmarkEnd w:id="180"/>
      <w:bookmarkEnd w:id="181"/>
      <w:bookmarkEnd w:id="182"/>
      <w:bookmarkEnd w:id="183"/>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205975787"/>
      <w:bookmarkStart w:id="194" w:name="_Hlk67826260"/>
      <w:r w:rsidRPr="00F8529D">
        <w:t>§ 11. Nadzór i koordynacja</w:t>
      </w:r>
      <w:bookmarkEnd w:id="189"/>
      <w:bookmarkEnd w:id="190"/>
      <w:bookmarkEnd w:id="191"/>
      <w:bookmarkEnd w:id="192"/>
      <w:bookmarkEnd w:id="193"/>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205975788"/>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Toc205975789"/>
      <w:bookmarkStart w:id="209" w:name="_Hlk155701067"/>
      <w:bookmarkStart w:id="210" w:name="_Hlk156823361"/>
      <w:bookmarkEnd w:id="194"/>
      <w:bookmarkEnd w:id="200"/>
      <w:r w:rsidRPr="000E4913">
        <w:t>§ 1</w:t>
      </w:r>
      <w:r>
        <w:t>3</w:t>
      </w:r>
      <w:r w:rsidRPr="000E4913">
        <w:t>. Kary umowne i odpowiedzialność</w:t>
      </w:r>
      <w:bookmarkEnd w:id="204"/>
      <w:bookmarkEnd w:id="205"/>
      <w:bookmarkEnd w:id="206"/>
      <w:bookmarkEnd w:id="207"/>
      <w:bookmarkEnd w:id="208"/>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9"/>
      <w:bookmarkEnd w:id="210"/>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lastRenderedPageBreak/>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lastRenderedPageBreak/>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5975790"/>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5975791"/>
      <w:bookmarkStart w:id="229" w:name="_Hlk148332977"/>
      <w:bookmarkStart w:id="230" w:name="_Hlk67826402"/>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lastRenderedPageBreak/>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5975792"/>
      <w:bookmarkEnd w:id="229"/>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FA5E20">
      <w:pPr>
        <w:numPr>
          <w:ilvl w:val="0"/>
          <w:numId w:val="84"/>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FA5E20">
      <w:pPr>
        <w:numPr>
          <w:ilvl w:val="1"/>
          <w:numId w:val="57"/>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FA5E20">
      <w:pPr>
        <w:numPr>
          <w:ilvl w:val="1"/>
          <w:numId w:val="57"/>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FA5E20">
      <w:pPr>
        <w:numPr>
          <w:ilvl w:val="0"/>
          <w:numId w:val="84"/>
        </w:numPr>
        <w:spacing w:line="259" w:lineRule="auto"/>
        <w:jc w:val="both"/>
        <w:rPr>
          <w:sz w:val="22"/>
          <w:szCs w:val="22"/>
        </w:rPr>
      </w:pPr>
      <w:r w:rsidRPr="00FA5E2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13B4C9B" w14:textId="77777777" w:rsidR="00FA5E20" w:rsidRPr="00FA5E20" w:rsidRDefault="00FA5E20" w:rsidP="00FA5E20">
      <w:pPr>
        <w:numPr>
          <w:ilvl w:val="0"/>
          <w:numId w:val="84"/>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FA5E20">
      <w:pPr>
        <w:numPr>
          <w:ilvl w:val="1"/>
          <w:numId w:val="84"/>
        </w:numPr>
        <w:contextualSpacing/>
        <w:jc w:val="both"/>
        <w:rPr>
          <w:sz w:val="22"/>
          <w:szCs w:val="22"/>
        </w:rPr>
      </w:pPr>
      <w:r w:rsidRPr="00FA5E20">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271DB8F7" w14:textId="77777777" w:rsidR="00FA5E20" w:rsidRPr="00FA5E20" w:rsidRDefault="00FA5E20" w:rsidP="00FA5E20">
      <w:pPr>
        <w:numPr>
          <w:ilvl w:val="1"/>
          <w:numId w:val="84"/>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FA5E20">
      <w:pPr>
        <w:numPr>
          <w:ilvl w:val="1"/>
          <w:numId w:val="84"/>
        </w:numPr>
        <w:contextualSpacing/>
        <w:jc w:val="both"/>
        <w:rPr>
          <w:sz w:val="22"/>
          <w:szCs w:val="22"/>
        </w:rPr>
      </w:pPr>
      <w:r w:rsidRPr="00FA5E20">
        <w:rPr>
          <w:sz w:val="22"/>
          <w:szCs w:val="22"/>
        </w:rPr>
        <w:lastRenderedPageBreak/>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FA5E20">
      <w:pPr>
        <w:numPr>
          <w:ilvl w:val="1"/>
          <w:numId w:val="84"/>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FA5E20">
      <w:pPr>
        <w:numPr>
          <w:ilvl w:val="1"/>
          <w:numId w:val="84"/>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FA5E20">
      <w:pPr>
        <w:numPr>
          <w:ilvl w:val="1"/>
          <w:numId w:val="84"/>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FA5E20">
      <w:pPr>
        <w:numPr>
          <w:ilvl w:val="1"/>
          <w:numId w:val="84"/>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0A559B">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FA5E20">
      <w:pPr>
        <w:numPr>
          <w:ilvl w:val="0"/>
          <w:numId w:val="84"/>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FA5E20">
      <w:pPr>
        <w:numPr>
          <w:ilvl w:val="0"/>
          <w:numId w:val="71"/>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FA5E20">
      <w:pPr>
        <w:numPr>
          <w:ilvl w:val="0"/>
          <w:numId w:val="71"/>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FA5E20">
      <w:pPr>
        <w:numPr>
          <w:ilvl w:val="0"/>
          <w:numId w:val="84"/>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5975793"/>
      <w:bookmarkStart w:id="245" w:name="_Hlk67826426"/>
      <w:bookmarkEnd w:id="230"/>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5975794"/>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5975795"/>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działających w ich imieniu lub na ich rzecz i odnosi się w szczególności do zachowań,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5975796"/>
      <w:bookmarkStart w:id="267" w:name="_Hlk105675117"/>
      <w:bookmarkStart w:id="268" w:name="_Hlk67826575"/>
      <w:bookmarkStart w:id="269" w:name="_Toc64016216"/>
      <w:bookmarkEnd w:id="258"/>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5975797"/>
      <w:bookmarkStart w:id="274" w:name="_Hlk6782661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5975798"/>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5975799"/>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11594BB8" w14:textId="793DBEA9" w:rsidR="0013237D" w:rsidRPr="000C523D" w:rsidRDefault="000C23F8" w:rsidP="00450360">
      <w:pPr>
        <w:rPr>
          <w:i/>
          <w:iCs/>
          <w:color w:val="0070C0"/>
          <w:sz w:val="24"/>
          <w:szCs w:val="24"/>
        </w:rPr>
      </w:pPr>
      <w:r w:rsidRPr="00B30F1F">
        <w:rPr>
          <w:i/>
          <w:iCs/>
          <w:sz w:val="22"/>
          <w:szCs w:val="22"/>
        </w:rPr>
        <w:t>Podpisuje Wykonawca lub każdy z członków Konsorcjum</w:t>
      </w:r>
      <w:bookmarkStart w:id="295" w:name="_Hlk106958642"/>
      <w:bookmarkEnd w:id="117"/>
      <w:bookmarkEnd w:id="293"/>
      <w:bookmarkEnd w:id="294"/>
      <w:r w:rsidR="0013237D" w:rsidRPr="00895B8E">
        <w:rPr>
          <w:sz w:val="24"/>
          <w:szCs w:val="24"/>
        </w:rPr>
        <w:tab/>
      </w:r>
      <w:r w:rsidR="0013237D" w:rsidRPr="00895B8E">
        <w:rPr>
          <w:sz w:val="24"/>
          <w:szCs w:val="24"/>
        </w:rPr>
        <w:tab/>
      </w:r>
      <w:r w:rsidR="0013237D"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F53B" w14:textId="77777777" w:rsidR="00957C41" w:rsidRDefault="00957C41" w:rsidP="0079756C">
      <w:r>
        <w:separator/>
      </w:r>
    </w:p>
  </w:endnote>
  <w:endnote w:type="continuationSeparator" w:id="0">
    <w:p w14:paraId="42451400" w14:textId="77777777" w:rsidR="00957C41" w:rsidRDefault="00957C4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9266874" w:rsidR="000A559B" w:rsidRDefault="000A559B" w:rsidP="0022543C">
        <w:pPr>
          <w:pStyle w:val="Stopka"/>
        </w:pPr>
        <w:r>
          <w:t xml:space="preserve">Nr postępowania 412500896 </w:t>
        </w:r>
      </w:p>
      <w:p w14:paraId="43B153F5" w14:textId="77777777" w:rsidR="000A559B" w:rsidRDefault="000A559B" w:rsidP="0022543C">
        <w:pPr>
          <w:pStyle w:val="Stopka"/>
          <w:rPr>
            <w:i/>
            <w:iCs/>
          </w:rPr>
        </w:pPr>
      </w:p>
      <w:p w14:paraId="2DC1C4A1" w14:textId="2D619A29" w:rsidR="000A559B" w:rsidRDefault="00000000" w:rsidP="0022543C">
        <w:pPr>
          <w:pStyle w:val="Stopka"/>
        </w:pPr>
        <w:sdt>
          <w:sdtPr>
            <w:rPr>
              <w:i/>
              <w:iCs/>
              <w:sz w:val="16"/>
              <w:szCs w:val="16"/>
            </w:rPr>
            <w:id w:val="-825816073"/>
            <w:lock w:val="sdtContentLocked"/>
            <w:text/>
          </w:sdtPr>
          <w:sdtContent>
            <w:r w:rsidR="000A559B" w:rsidRPr="00905697">
              <w:rPr>
                <w:i/>
                <w:iCs/>
                <w:sz w:val="16"/>
                <w:szCs w:val="16"/>
              </w:rPr>
              <w:t>Wzór nr NP/01/2024</w:t>
            </w:r>
            <w:r w:rsidR="000A559B">
              <w:rPr>
                <w:i/>
                <w:iCs/>
                <w:sz w:val="16"/>
                <w:szCs w:val="16"/>
              </w:rPr>
              <w:t>/</w:t>
            </w:r>
            <w:r w:rsidR="000A559B" w:rsidRPr="00905697">
              <w:rPr>
                <w:i/>
                <w:iCs/>
                <w:sz w:val="16"/>
                <w:szCs w:val="16"/>
              </w:rPr>
              <w:t>v</w:t>
            </w:r>
            <w:r w:rsidR="000A559B">
              <w:rPr>
                <w:i/>
                <w:iCs/>
                <w:sz w:val="16"/>
                <w:szCs w:val="16"/>
              </w:rPr>
              <w:t>2</w:t>
            </w:r>
          </w:sdtContent>
        </w:sdt>
        <w:r w:rsidR="000A559B">
          <w:tab/>
        </w:r>
        <w:r w:rsidR="000A559B">
          <w:tab/>
        </w:r>
        <w:r w:rsidR="000A559B">
          <w:fldChar w:fldCharType="begin"/>
        </w:r>
        <w:r w:rsidR="000A559B">
          <w:instrText>PAGE   \* MERGEFORMAT</w:instrText>
        </w:r>
        <w:r w:rsidR="000A559B">
          <w:fldChar w:fldCharType="separate"/>
        </w:r>
        <w:r w:rsidR="00F23CAD">
          <w:rPr>
            <w:noProof/>
          </w:rPr>
          <w:t>44</w:t>
        </w:r>
        <w:r w:rsidR="000A559B">
          <w:fldChar w:fldCharType="end"/>
        </w:r>
      </w:p>
      <w:p w14:paraId="7490ABF8" w14:textId="4F3ACE30" w:rsidR="000A559B" w:rsidRDefault="000A559B" w:rsidP="0022543C">
        <w:pPr>
          <w:pStyle w:val="Stopka"/>
        </w:pPr>
      </w:p>
      <w:p w14:paraId="5CF46CF4" w14:textId="477209F2" w:rsidR="000A559B" w:rsidRPr="00535B2A" w:rsidRDefault="00000000" w:rsidP="0022543C">
        <w:pPr>
          <w:pStyle w:val="Stopka"/>
          <w:rPr>
            <w:i/>
            <w:iCs/>
          </w:rPr>
        </w:pPr>
      </w:p>
    </w:sdtContent>
  </w:sdt>
  <w:p w14:paraId="2E94BEBD" w14:textId="19549568" w:rsidR="000A559B" w:rsidRPr="00DD199C" w:rsidRDefault="000A559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41E3" w14:textId="77777777" w:rsidR="00957C41" w:rsidRDefault="00957C41" w:rsidP="0079756C">
      <w:r>
        <w:separator/>
      </w:r>
    </w:p>
  </w:footnote>
  <w:footnote w:type="continuationSeparator" w:id="0">
    <w:p w14:paraId="409DED88" w14:textId="77777777" w:rsidR="00957C41" w:rsidRDefault="00957C4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0A559B" w:rsidRPr="006147A0" w:rsidRDefault="000A559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0A559B" w:rsidRDefault="000A559B"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C139BA"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338204">
    <w:abstractNumId w:val="24"/>
  </w:num>
  <w:num w:numId="2" w16cid:durableId="1875069875">
    <w:abstractNumId w:val="75"/>
  </w:num>
  <w:num w:numId="3" w16cid:durableId="224141906">
    <w:abstractNumId w:val="67"/>
  </w:num>
  <w:num w:numId="4" w16cid:durableId="1336567845">
    <w:abstractNumId w:val="70"/>
  </w:num>
  <w:num w:numId="5" w16cid:durableId="1568565854">
    <w:abstractNumId w:val="6"/>
  </w:num>
  <w:num w:numId="6" w16cid:durableId="875508200">
    <w:abstractNumId w:val="19"/>
  </w:num>
  <w:num w:numId="7" w16cid:durableId="737365342">
    <w:abstractNumId w:val="34"/>
  </w:num>
  <w:num w:numId="8" w16cid:durableId="362483017">
    <w:abstractNumId w:val="27"/>
  </w:num>
  <w:num w:numId="9" w16cid:durableId="1677268852">
    <w:abstractNumId w:val="73"/>
  </w:num>
  <w:num w:numId="10" w16cid:durableId="1124737274">
    <w:abstractNumId w:val="57"/>
  </w:num>
  <w:num w:numId="11" w16cid:durableId="1454903395">
    <w:abstractNumId w:val="83"/>
  </w:num>
  <w:num w:numId="12" w16cid:durableId="1759983775">
    <w:abstractNumId w:val="58"/>
  </w:num>
  <w:num w:numId="13" w16cid:durableId="184759408">
    <w:abstractNumId w:val="51"/>
  </w:num>
  <w:num w:numId="14" w16cid:durableId="1188715807">
    <w:abstractNumId w:val="63"/>
  </w:num>
  <w:num w:numId="15" w16cid:durableId="594243916">
    <w:abstractNumId w:val="44"/>
  </w:num>
  <w:num w:numId="16" w16cid:durableId="14041952">
    <w:abstractNumId w:val="30"/>
  </w:num>
  <w:num w:numId="17" w16cid:durableId="633413308">
    <w:abstractNumId w:val="13"/>
  </w:num>
  <w:num w:numId="18" w16cid:durableId="171072924">
    <w:abstractNumId w:val="41"/>
  </w:num>
  <w:num w:numId="19" w16cid:durableId="46607821">
    <w:abstractNumId w:val="80"/>
  </w:num>
  <w:num w:numId="20" w16cid:durableId="111172048">
    <w:abstractNumId w:val="12"/>
  </w:num>
  <w:num w:numId="21" w16cid:durableId="1807502116">
    <w:abstractNumId w:val="64"/>
    <w:lvlOverride w:ilvl="0">
      <w:startOverride w:val="1"/>
    </w:lvlOverride>
  </w:num>
  <w:num w:numId="22" w16cid:durableId="491213877">
    <w:abstractNumId w:val="43"/>
    <w:lvlOverride w:ilvl="0">
      <w:startOverride w:val="1"/>
    </w:lvlOverride>
  </w:num>
  <w:num w:numId="23" w16cid:durableId="96145506">
    <w:abstractNumId w:val="28"/>
  </w:num>
  <w:num w:numId="24" w16cid:durableId="1729113229">
    <w:abstractNumId w:val="4"/>
  </w:num>
  <w:num w:numId="25" w16cid:durableId="485171440">
    <w:abstractNumId w:val="3"/>
  </w:num>
  <w:num w:numId="26" w16cid:durableId="1238245619">
    <w:abstractNumId w:val="2"/>
  </w:num>
  <w:num w:numId="27" w16cid:durableId="586812332">
    <w:abstractNumId w:val="1"/>
  </w:num>
  <w:num w:numId="28" w16cid:durableId="1684891571">
    <w:abstractNumId w:val="0"/>
  </w:num>
  <w:num w:numId="29" w16cid:durableId="1070158924">
    <w:abstractNumId w:val="9"/>
  </w:num>
  <w:num w:numId="30" w16cid:durableId="1755786341">
    <w:abstractNumId w:val="76"/>
  </w:num>
  <w:num w:numId="31" w16cid:durableId="1635525090">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363988">
    <w:abstractNumId w:val="62"/>
  </w:num>
  <w:num w:numId="33" w16cid:durableId="1810129829">
    <w:abstractNumId w:val="77"/>
  </w:num>
  <w:num w:numId="34" w16cid:durableId="827601720">
    <w:abstractNumId w:val="26"/>
  </w:num>
  <w:num w:numId="35" w16cid:durableId="426577266">
    <w:abstractNumId w:val="81"/>
  </w:num>
  <w:num w:numId="36" w16cid:durableId="866211249">
    <w:abstractNumId w:val="16"/>
  </w:num>
  <w:num w:numId="37" w16cid:durableId="1005940424">
    <w:abstractNumId w:val="36"/>
  </w:num>
  <w:num w:numId="38" w16cid:durableId="953167812">
    <w:abstractNumId w:val="47"/>
  </w:num>
  <w:num w:numId="39" w16cid:durableId="990450797">
    <w:abstractNumId w:val="56"/>
  </w:num>
  <w:num w:numId="40" w16cid:durableId="537161017">
    <w:abstractNumId w:val="31"/>
  </w:num>
  <w:num w:numId="41" w16cid:durableId="238488504">
    <w:abstractNumId w:val="38"/>
  </w:num>
  <w:num w:numId="42" w16cid:durableId="172230211">
    <w:abstractNumId w:val="53"/>
  </w:num>
  <w:num w:numId="43" w16cid:durableId="571040765">
    <w:abstractNumId w:val="84"/>
  </w:num>
  <w:num w:numId="44" w16cid:durableId="307130026">
    <w:abstractNumId w:val="52"/>
  </w:num>
  <w:num w:numId="45" w16cid:durableId="1902445542">
    <w:abstractNumId w:val="32"/>
  </w:num>
  <w:num w:numId="46" w16cid:durableId="1423381114">
    <w:abstractNumId w:val="37"/>
  </w:num>
  <w:num w:numId="47" w16cid:durableId="1627739603">
    <w:abstractNumId w:val="15"/>
  </w:num>
  <w:num w:numId="48" w16cid:durableId="1591154960">
    <w:abstractNumId w:val="59"/>
  </w:num>
  <w:num w:numId="49" w16cid:durableId="1258905138">
    <w:abstractNumId w:val="22"/>
  </w:num>
  <w:num w:numId="50" w16cid:durableId="1221942620">
    <w:abstractNumId w:val="25"/>
  </w:num>
  <w:num w:numId="51" w16cid:durableId="1494108084">
    <w:abstractNumId w:val="54"/>
  </w:num>
  <w:num w:numId="52" w16cid:durableId="431779546">
    <w:abstractNumId w:val="55"/>
  </w:num>
  <w:num w:numId="53" w16cid:durableId="2100441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09746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4084509">
    <w:abstractNumId w:val="78"/>
  </w:num>
  <w:num w:numId="56" w16cid:durableId="604071893">
    <w:abstractNumId w:val="8"/>
  </w:num>
  <w:num w:numId="57" w16cid:durableId="2090299664">
    <w:abstractNumId w:val="69"/>
  </w:num>
  <w:num w:numId="58" w16cid:durableId="1979871628">
    <w:abstractNumId w:val="10"/>
  </w:num>
  <w:num w:numId="59" w16cid:durableId="1111972032">
    <w:abstractNumId w:val="40"/>
  </w:num>
  <w:num w:numId="60" w16cid:durableId="2054764824">
    <w:abstractNumId w:val="7"/>
  </w:num>
  <w:num w:numId="61" w16cid:durableId="1190682427">
    <w:abstractNumId w:val="65"/>
  </w:num>
  <w:num w:numId="62" w16cid:durableId="1043093498">
    <w:abstractNumId w:val="72"/>
  </w:num>
  <w:num w:numId="63" w16cid:durableId="190413686">
    <w:abstractNumId w:val="18"/>
  </w:num>
  <w:num w:numId="64" w16cid:durableId="833959179">
    <w:abstractNumId w:val="82"/>
  </w:num>
  <w:num w:numId="65" w16cid:durableId="686634232">
    <w:abstractNumId w:val="45"/>
  </w:num>
  <w:num w:numId="66" w16cid:durableId="375351873">
    <w:abstractNumId w:val="14"/>
  </w:num>
  <w:num w:numId="67" w16cid:durableId="1693144701">
    <w:abstractNumId w:val="68"/>
  </w:num>
  <w:num w:numId="68" w16cid:durableId="1160538276">
    <w:abstractNumId w:val="85"/>
  </w:num>
  <w:num w:numId="69" w16cid:durableId="1139957091">
    <w:abstractNumId w:val="20"/>
  </w:num>
  <w:num w:numId="70" w16cid:durableId="1583642380">
    <w:abstractNumId w:val="29"/>
  </w:num>
  <w:num w:numId="71" w16cid:durableId="800655924">
    <w:abstractNumId w:val="46"/>
  </w:num>
  <w:num w:numId="72" w16cid:durableId="16847005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2479457">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4662433">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22621680">
    <w:abstractNumId w:val="60"/>
  </w:num>
  <w:num w:numId="76" w16cid:durableId="868107358">
    <w:abstractNumId w:val="48"/>
  </w:num>
  <w:num w:numId="77" w16cid:durableId="1175606327">
    <w:abstractNumId w:val="23"/>
  </w:num>
  <w:num w:numId="78" w16cid:durableId="805659246">
    <w:abstractNumId w:val="49"/>
  </w:num>
  <w:num w:numId="79" w16cid:durableId="642320528">
    <w:abstractNumId w:val="71"/>
  </w:num>
  <w:num w:numId="80" w16cid:durableId="1023170886">
    <w:abstractNumId w:val="39"/>
  </w:num>
  <w:num w:numId="81" w16cid:durableId="413548051">
    <w:abstractNumId w:val="11"/>
  </w:num>
  <w:num w:numId="82" w16cid:durableId="1648703122">
    <w:abstractNumId w:val="61"/>
  </w:num>
  <w:num w:numId="83" w16cid:durableId="102727179">
    <w:abstractNumId w:val="35"/>
  </w:num>
  <w:num w:numId="84" w16cid:durableId="2111847697">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30AE"/>
    <w:rsid w:val="00084183"/>
    <w:rsid w:val="0008454A"/>
    <w:rsid w:val="00084D1C"/>
    <w:rsid w:val="0008515F"/>
    <w:rsid w:val="00087BB6"/>
    <w:rsid w:val="00090466"/>
    <w:rsid w:val="0009157B"/>
    <w:rsid w:val="00092634"/>
    <w:rsid w:val="00093201"/>
    <w:rsid w:val="000941B7"/>
    <w:rsid w:val="00096A2D"/>
    <w:rsid w:val="000A293D"/>
    <w:rsid w:val="000A559B"/>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158"/>
    <w:rsid w:val="000F1677"/>
    <w:rsid w:val="000F3538"/>
    <w:rsid w:val="000F4E10"/>
    <w:rsid w:val="000F6329"/>
    <w:rsid w:val="000F6F0B"/>
    <w:rsid w:val="000F7B2E"/>
    <w:rsid w:val="001002B8"/>
    <w:rsid w:val="0010071A"/>
    <w:rsid w:val="001007BE"/>
    <w:rsid w:val="0010086C"/>
    <w:rsid w:val="0010687C"/>
    <w:rsid w:val="00107F43"/>
    <w:rsid w:val="00110295"/>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19D3"/>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A7487"/>
    <w:rsid w:val="002B048C"/>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5C5A"/>
    <w:rsid w:val="003178E0"/>
    <w:rsid w:val="0032118E"/>
    <w:rsid w:val="00321AB7"/>
    <w:rsid w:val="00322B0F"/>
    <w:rsid w:val="00325455"/>
    <w:rsid w:val="0033001C"/>
    <w:rsid w:val="00330420"/>
    <w:rsid w:val="00330DC0"/>
    <w:rsid w:val="00332BC8"/>
    <w:rsid w:val="00334DDE"/>
    <w:rsid w:val="003352E2"/>
    <w:rsid w:val="00336928"/>
    <w:rsid w:val="0033716E"/>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3D7F"/>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2F0"/>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FF7"/>
    <w:rsid w:val="00447F57"/>
    <w:rsid w:val="00450360"/>
    <w:rsid w:val="00452185"/>
    <w:rsid w:val="00452506"/>
    <w:rsid w:val="0045580A"/>
    <w:rsid w:val="00455E7B"/>
    <w:rsid w:val="00457356"/>
    <w:rsid w:val="00457DDF"/>
    <w:rsid w:val="0046067B"/>
    <w:rsid w:val="00460DB1"/>
    <w:rsid w:val="0046179F"/>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33F"/>
    <w:rsid w:val="004A04E7"/>
    <w:rsid w:val="004A1254"/>
    <w:rsid w:val="004A2676"/>
    <w:rsid w:val="004A2711"/>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5B5B"/>
    <w:rsid w:val="00655F23"/>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12C5"/>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4752"/>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57C41"/>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5560"/>
    <w:rsid w:val="00B461A3"/>
    <w:rsid w:val="00B46516"/>
    <w:rsid w:val="00B47581"/>
    <w:rsid w:val="00B517A4"/>
    <w:rsid w:val="00B527CE"/>
    <w:rsid w:val="00B57533"/>
    <w:rsid w:val="00B60219"/>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0C9A"/>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2B43"/>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020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769"/>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3CAD"/>
    <w:rsid w:val="00F244A3"/>
    <w:rsid w:val="00F2716E"/>
    <w:rsid w:val="00F306F1"/>
    <w:rsid w:val="00F3092A"/>
    <w:rsid w:val="00F31AB4"/>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0F8A711-3BA3-4FDF-B55A-65D65CB2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DE5D8B88-2110-44BA-BA85-7A5DDA99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19750</Words>
  <Characters>118504</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4</cp:revision>
  <cp:lastPrinted>2025-09-02T11:58:00Z</cp:lastPrinted>
  <dcterms:created xsi:type="dcterms:W3CDTF">2025-09-02T11:58:00Z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